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tabs>
          <w:tab w:val="left" w:pos="284"/>
          <w:tab w:val="left" w:pos="4536"/>
        </w:tabs>
        <w:snapToGrid w:val="0"/>
        <w:ind w:firstLine="4161" w:firstLineChars="578"/>
        <w:jc w:val="left"/>
        <w:rPr>
          <w:rFonts w:hint="eastAsia" w:ascii="华文新魏" w:eastAsia="华文新魏"/>
          <w:color w:val="auto"/>
          <w:sz w:val="72"/>
          <w:szCs w:val="72"/>
          <w:lang w:eastAsia="zh-CN"/>
        </w:rPr>
      </w:pPr>
    </w:p>
    <w:p>
      <w:pPr>
        <w:widowControl/>
        <w:tabs>
          <w:tab w:val="left" w:pos="284"/>
          <w:tab w:val="left" w:pos="4536"/>
        </w:tabs>
        <w:snapToGrid w:val="0"/>
        <w:ind w:firstLine="4161" w:firstLineChars="578"/>
        <w:jc w:val="left"/>
        <w:rPr>
          <w:rFonts w:hint="eastAsia" w:ascii="华文新魏" w:eastAsia="华文新魏"/>
          <w:color w:val="auto"/>
          <w:sz w:val="72"/>
          <w:szCs w:val="72"/>
          <w:lang w:eastAsia="zh-CN"/>
        </w:rPr>
      </w:pPr>
    </w:p>
    <w:p>
      <w:pPr>
        <w:widowControl/>
        <w:tabs>
          <w:tab w:val="left" w:pos="284"/>
          <w:tab w:val="left" w:pos="4536"/>
        </w:tabs>
        <w:snapToGrid w:val="0"/>
        <w:jc w:val="center"/>
        <w:rPr>
          <w:rFonts w:hint="eastAsia" w:ascii="华文新魏" w:eastAsia="华文新魏"/>
          <w:color w:val="auto"/>
          <w:sz w:val="52"/>
          <w:szCs w:val="52"/>
          <w:lang w:val="en-US"/>
        </w:rPr>
      </w:pPr>
      <w:r>
        <w:rPr>
          <w:rFonts w:hint="eastAsia" w:ascii="华文新魏" w:eastAsia="华文新魏"/>
          <w:color w:val="auto"/>
          <w:w w:val="90"/>
          <w:sz w:val="72"/>
          <w:szCs w:val="72"/>
        </w:rPr>
        <w:t>东华大学</w:t>
      </w:r>
      <w:r>
        <w:rPr>
          <w:rFonts w:hint="default" w:ascii="华文新魏" w:eastAsia="华文新魏"/>
          <w:color w:val="auto"/>
          <w:w w:val="90"/>
          <w:sz w:val="72"/>
          <w:szCs w:val="72"/>
          <w:lang w:val="en-US" w:eastAsia="zh-CN"/>
        </w:rPr>
        <w:t>高等</w:t>
      </w:r>
      <w:r>
        <w:rPr>
          <w:rFonts w:hint="eastAsia" w:ascii="华文新魏" w:eastAsia="华文新魏"/>
          <w:color w:val="auto"/>
          <w:w w:val="90"/>
          <w:sz w:val="72"/>
          <w:szCs w:val="72"/>
          <w:lang w:val="en-US" w:eastAsia="zh-CN"/>
        </w:rPr>
        <w:t>学历继续</w:t>
      </w:r>
      <w:r>
        <w:rPr>
          <w:rFonts w:hint="default" w:ascii="华文新魏" w:eastAsia="华文新魏"/>
          <w:color w:val="auto"/>
          <w:w w:val="90"/>
          <w:sz w:val="72"/>
          <w:szCs w:val="72"/>
          <w:lang w:val="en-US"/>
        </w:rPr>
        <w:t>教育</w:t>
      </w:r>
    </w:p>
    <w:p>
      <w:pPr>
        <w:widowControl/>
        <w:tabs>
          <w:tab w:val="left" w:pos="284"/>
          <w:tab w:val="left" w:pos="4536"/>
        </w:tabs>
        <w:snapToGrid w:val="0"/>
        <w:jc w:val="center"/>
        <w:rPr>
          <w:rFonts w:hint="default" w:ascii="华文新魏" w:hAnsi="Calibri" w:eastAsia="华文新魏" w:cs="Times New Roman"/>
          <w:color w:val="auto"/>
          <w:w w:val="90"/>
          <w:sz w:val="72"/>
          <w:szCs w:val="72"/>
        </w:rPr>
      </w:pPr>
      <w:r>
        <w:rPr>
          <w:rFonts w:hint="default" w:ascii="华文新魏" w:hAnsi="Calibri" w:eastAsia="华文新魏" w:cs="Times New Roman"/>
          <w:color w:val="auto"/>
          <w:w w:val="90"/>
          <w:sz w:val="72"/>
          <w:szCs w:val="72"/>
          <w:lang w:eastAsia="zh-CN"/>
        </w:rPr>
        <w:t>学生</w:t>
      </w:r>
      <w:r>
        <w:rPr>
          <w:rFonts w:hint="default" w:ascii="华文新魏" w:hAnsi="Calibri" w:eastAsia="华文新魏" w:cs="Times New Roman"/>
          <w:color w:val="auto"/>
          <w:w w:val="90"/>
          <w:sz w:val="72"/>
          <w:szCs w:val="72"/>
        </w:rPr>
        <w:t>手册</w:t>
      </w:r>
    </w:p>
    <w:p>
      <w:pPr>
        <w:widowControl/>
        <w:tabs>
          <w:tab w:val="left" w:pos="284"/>
          <w:tab w:val="left" w:pos="4536"/>
        </w:tabs>
        <w:snapToGrid w:val="0"/>
        <w:rPr>
          <w:rFonts w:hint="eastAsia" w:ascii="华文新魏" w:eastAsia="华文新魏"/>
          <w:color w:val="auto"/>
          <w:sz w:val="36"/>
          <w:szCs w:val="72"/>
        </w:rPr>
      </w:pPr>
    </w:p>
    <w:p>
      <w:pPr>
        <w:widowControl/>
        <w:tabs>
          <w:tab w:val="left" w:pos="284"/>
          <w:tab w:val="left" w:pos="4536"/>
        </w:tabs>
        <w:snapToGrid w:val="0"/>
        <w:rPr>
          <w:rFonts w:hint="eastAsia" w:ascii="华文新魏" w:eastAsia="华文新魏"/>
          <w:color w:val="auto"/>
          <w:sz w:val="36"/>
          <w:szCs w:val="72"/>
        </w:rPr>
      </w:pPr>
    </w:p>
    <w:p>
      <w:pPr>
        <w:widowControl/>
        <w:tabs>
          <w:tab w:val="left" w:pos="284"/>
          <w:tab w:val="left" w:pos="4536"/>
        </w:tabs>
        <w:snapToGrid w:val="0"/>
        <w:jc w:val="center"/>
        <w:rPr>
          <w:rFonts w:hint="eastAsia" w:ascii="华文新魏" w:eastAsia="华文新魏"/>
          <w:color w:val="auto"/>
          <w:sz w:val="36"/>
          <w:szCs w:val="72"/>
        </w:rPr>
      </w:pPr>
    </w:p>
    <w:p>
      <w:pPr>
        <w:widowControl/>
        <w:tabs>
          <w:tab w:val="left" w:pos="284"/>
          <w:tab w:val="left" w:pos="4536"/>
        </w:tabs>
        <w:snapToGrid w:val="0"/>
        <w:jc w:val="center"/>
        <w:rPr>
          <w:rFonts w:hint="eastAsia" w:ascii="华文新魏" w:eastAsia="华文新魏"/>
          <w:color w:val="auto"/>
          <w:sz w:val="36"/>
          <w:szCs w:val="72"/>
        </w:rPr>
      </w:pPr>
    </w:p>
    <w:p>
      <w:pPr>
        <w:widowControl/>
        <w:tabs>
          <w:tab w:val="left" w:pos="284"/>
          <w:tab w:val="left" w:pos="4536"/>
        </w:tabs>
        <w:snapToGrid w:val="0"/>
        <w:jc w:val="center"/>
        <w:rPr>
          <w:rFonts w:hint="eastAsia" w:ascii="华文新魏" w:eastAsia="华文新魏"/>
          <w:color w:val="auto"/>
          <w:sz w:val="36"/>
          <w:szCs w:val="72"/>
        </w:rPr>
      </w:pPr>
    </w:p>
    <w:p>
      <w:pPr>
        <w:widowControl/>
        <w:tabs>
          <w:tab w:val="left" w:pos="284"/>
          <w:tab w:val="left" w:pos="4536"/>
        </w:tabs>
        <w:snapToGrid w:val="0"/>
        <w:jc w:val="center"/>
        <w:rPr>
          <w:rFonts w:hint="eastAsia" w:ascii="华文新魏" w:eastAsia="华文新魏"/>
          <w:color w:val="auto"/>
          <w:sz w:val="36"/>
          <w:szCs w:val="72"/>
        </w:rPr>
      </w:pPr>
    </w:p>
    <w:p>
      <w:pPr>
        <w:widowControl/>
        <w:tabs>
          <w:tab w:val="left" w:pos="284"/>
          <w:tab w:val="left" w:pos="4536"/>
        </w:tabs>
        <w:snapToGrid w:val="0"/>
        <w:jc w:val="center"/>
        <w:rPr>
          <w:rFonts w:hint="eastAsia" w:ascii="华文新魏" w:eastAsia="华文新魏"/>
          <w:color w:val="auto"/>
          <w:sz w:val="44"/>
          <w:szCs w:val="72"/>
        </w:rPr>
      </w:pPr>
      <w:r>
        <w:rPr>
          <w:rFonts w:hint="eastAsia" w:ascii="华文新魏" w:eastAsia="华文新魏"/>
          <w:color w:val="auto"/>
          <w:sz w:val="44"/>
          <w:szCs w:val="72"/>
        </w:rPr>
        <w:t>东华大学</w:t>
      </w:r>
      <w:r>
        <w:rPr>
          <w:rFonts w:hint="eastAsia" w:ascii="华文新魏" w:eastAsia="华文新魏"/>
          <w:color w:val="auto"/>
          <w:sz w:val="44"/>
          <w:szCs w:val="72"/>
          <w:lang w:eastAsia="zh-CN"/>
        </w:rPr>
        <w:t>继续</w:t>
      </w:r>
      <w:r>
        <w:rPr>
          <w:rFonts w:hint="eastAsia" w:ascii="华文新魏" w:eastAsia="华文新魏"/>
          <w:color w:val="auto"/>
          <w:sz w:val="44"/>
          <w:szCs w:val="72"/>
        </w:rPr>
        <w:t>教育学院</w:t>
      </w:r>
    </w:p>
    <w:p>
      <w:pPr>
        <w:widowControl/>
        <w:tabs>
          <w:tab w:val="left" w:pos="284"/>
          <w:tab w:val="left" w:pos="4536"/>
        </w:tabs>
        <w:snapToGrid w:val="0"/>
        <w:jc w:val="center"/>
        <w:rPr>
          <w:rFonts w:hint="eastAsia" w:ascii="华文新魏" w:eastAsia="华文新魏"/>
          <w:color w:val="auto"/>
          <w:sz w:val="44"/>
          <w:szCs w:val="72"/>
          <w:lang w:val="en-US" w:eastAsia="zh-CN"/>
        </w:rPr>
      </w:pPr>
      <w:r>
        <w:rPr>
          <w:rFonts w:hint="eastAsia" w:ascii="华文新魏" w:eastAsia="华文新魏"/>
          <w:color w:val="auto"/>
          <w:sz w:val="44"/>
          <w:szCs w:val="72"/>
          <w:lang w:eastAsia="zh-CN"/>
        </w:rPr>
        <w:t>（</w:t>
      </w:r>
      <w:r>
        <w:rPr>
          <w:rFonts w:hint="eastAsia" w:ascii="华文新魏" w:eastAsia="华文新魏"/>
          <w:color w:val="auto"/>
          <w:sz w:val="44"/>
          <w:szCs w:val="72"/>
        </w:rPr>
        <w:t>20</w:t>
      </w:r>
      <w:r>
        <w:rPr>
          <w:rFonts w:hint="eastAsia" w:ascii="华文新魏" w:eastAsia="华文新魏"/>
          <w:color w:val="auto"/>
          <w:sz w:val="44"/>
          <w:szCs w:val="72"/>
          <w:lang w:val="en-US" w:eastAsia="zh-CN"/>
        </w:rPr>
        <w:t>23</w:t>
      </w:r>
      <w:r>
        <w:rPr>
          <w:rFonts w:hint="eastAsia" w:ascii="华文新魏" w:eastAsia="华文新魏"/>
          <w:color w:val="auto"/>
          <w:sz w:val="44"/>
          <w:szCs w:val="72"/>
        </w:rPr>
        <w:t>年</w:t>
      </w:r>
      <w:r>
        <w:rPr>
          <w:rFonts w:hint="eastAsia" w:ascii="华文新魏" w:eastAsia="华文新魏"/>
          <w:color w:val="auto"/>
          <w:sz w:val="44"/>
          <w:szCs w:val="72"/>
          <w:lang w:eastAsia="zh-CN"/>
        </w:rPr>
        <w:t>）</w:t>
      </w:r>
    </w:p>
    <w:p>
      <w:pPr>
        <w:widowControl/>
        <w:tabs>
          <w:tab w:val="left" w:pos="284"/>
          <w:tab w:val="left" w:pos="4536"/>
        </w:tabs>
        <w:snapToGrid w:val="0"/>
        <w:rPr>
          <w:rFonts w:hint="eastAsia" w:ascii="华文新魏" w:eastAsia="华文新魏"/>
          <w:color w:val="auto"/>
          <w:sz w:val="72"/>
          <w:szCs w:val="72"/>
        </w:rPr>
      </w:pPr>
    </w:p>
    <w:p>
      <w:pPr>
        <w:widowControl/>
        <w:tabs>
          <w:tab w:val="left" w:pos="284"/>
          <w:tab w:val="left" w:pos="3686"/>
          <w:tab w:val="left" w:pos="4536"/>
        </w:tabs>
        <w:snapToGrid w:val="0"/>
        <w:jc w:val="center"/>
        <w:rPr>
          <w:rFonts w:hint="eastAsia" w:ascii="华文新魏" w:eastAsia="华文新魏"/>
          <w:color w:val="auto"/>
          <w:sz w:val="52"/>
          <w:szCs w:val="52"/>
        </w:rPr>
        <w:sectPr>
          <w:footerReference r:id="rId5" w:type="default"/>
          <w:pgSz w:w="11906" w:h="16838"/>
          <w:pgMar w:top="1869" w:right="1797" w:bottom="1985" w:left="1797" w:header="851" w:footer="1701" w:gutter="0"/>
          <w:pgNumType w:fmt="decimal" w:start="1"/>
          <w:cols w:space="720" w:num="1"/>
          <w:docGrid w:type="lines" w:linePitch="312" w:charSpace="0"/>
        </w:sectPr>
      </w:pPr>
      <w:bookmarkStart w:id="90" w:name="_GoBack"/>
      <w:bookmarkEnd w:id="90"/>
    </w:p>
    <w:p>
      <w:pPr>
        <w:widowControl/>
        <w:tabs>
          <w:tab w:val="left" w:pos="284"/>
          <w:tab w:val="left" w:pos="3686"/>
          <w:tab w:val="left" w:pos="4536"/>
        </w:tabs>
        <w:snapToGrid w:val="0"/>
        <w:jc w:val="center"/>
        <w:rPr>
          <w:rFonts w:hint="eastAsia" w:ascii="华文新魏" w:eastAsia="华文新魏"/>
          <w:color w:val="auto"/>
          <w:sz w:val="52"/>
          <w:szCs w:val="52"/>
        </w:rPr>
      </w:pPr>
      <w:r>
        <w:rPr>
          <w:rFonts w:hint="eastAsia" w:ascii="华文新魏" w:eastAsia="华文新魏"/>
          <w:color w:val="auto"/>
          <w:sz w:val="52"/>
          <w:szCs w:val="52"/>
        </w:rPr>
        <w:t xml:space="preserve"> </w:t>
      </w:r>
    </w:p>
    <w:p>
      <w:pPr>
        <w:widowControl/>
        <w:tabs>
          <w:tab w:val="left" w:pos="284"/>
          <w:tab w:val="left" w:pos="3686"/>
          <w:tab w:val="left" w:pos="4536"/>
        </w:tabs>
        <w:snapToGrid w:val="0"/>
        <w:jc w:val="center"/>
        <w:rPr>
          <w:rFonts w:hint="eastAsia" w:ascii="华文新魏" w:eastAsia="华文新魏"/>
          <w:color w:val="auto"/>
          <w:sz w:val="52"/>
          <w:szCs w:val="52"/>
        </w:rPr>
      </w:pPr>
      <w:r>
        <w:rPr>
          <w:rFonts w:hint="eastAsia" w:ascii="华文新魏" w:eastAsia="华文新魏"/>
          <w:color w:val="auto"/>
          <w:sz w:val="52"/>
          <w:szCs w:val="52"/>
        </w:rPr>
        <w:t xml:space="preserve">   </w:t>
      </w:r>
    </w:p>
    <w:p>
      <w:pPr>
        <w:widowControl/>
        <w:tabs>
          <w:tab w:val="left" w:pos="284"/>
          <w:tab w:val="left" w:pos="3686"/>
          <w:tab w:val="left" w:pos="4536"/>
        </w:tabs>
        <w:snapToGrid w:val="0"/>
        <w:jc w:val="center"/>
        <w:rPr>
          <w:rFonts w:ascii="华文新魏" w:eastAsia="华文新魏"/>
          <w:color w:val="auto"/>
          <w:sz w:val="52"/>
          <w:szCs w:val="52"/>
        </w:rPr>
      </w:pPr>
      <w:r>
        <w:rPr>
          <w:rFonts w:hint="eastAsia" w:ascii="华文新魏" w:eastAsia="华文新魏"/>
          <w:color w:val="auto"/>
          <w:sz w:val="52"/>
          <w:szCs w:val="52"/>
        </w:rPr>
        <w:t xml:space="preserve">        崇</w:t>
      </w:r>
    </w:p>
    <w:p>
      <w:pPr>
        <w:widowControl/>
        <w:tabs>
          <w:tab w:val="left" w:pos="284"/>
          <w:tab w:val="left" w:pos="3686"/>
          <w:tab w:val="left" w:pos="4536"/>
        </w:tabs>
        <w:snapToGrid w:val="0"/>
        <w:jc w:val="center"/>
        <w:rPr>
          <w:rFonts w:ascii="华文新魏" w:eastAsia="华文新魏"/>
          <w:color w:val="auto"/>
          <w:sz w:val="52"/>
          <w:szCs w:val="52"/>
        </w:rPr>
      </w:pPr>
      <w:r>
        <w:rPr>
          <w:rFonts w:hint="eastAsia" w:ascii="华文新魏" w:eastAsia="华文新魏"/>
          <w:color w:val="auto"/>
          <w:sz w:val="52"/>
          <w:szCs w:val="52"/>
        </w:rPr>
        <w:t xml:space="preserve">        德  </w:t>
      </w:r>
    </w:p>
    <w:p>
      <w:pPr>
        <w:widowControl/>
        <w:tabs>
          <w:tab w:val="left" w:pos="284"/>
          <w:tab w:val="left" w:pos="4536"/>
        </w:tabs>
        <w:snapToGrid w:val="0"/>
        <w:jc w:val="center"/>
        <w:rPr>
          <w:rFonts w:ascii="华文新魏" w:eastAsia="华文新魏"/>
          <w:color w:val="auto"/>
          <w:sz w:val="52"/>
          <w:szCs w:val="52"/>
        </w:rPr>
      </w:pPr>
    </w:p>
    <w:p>
      <w:pPr>
        <w:widowControl/>
        <w:tabs>
          <w:tab w:val="left" w:pos="284"/>
          <w:tab w:val="left" w:pos="3686"/>
          <w:tab w:val="left" w:pos="4253"/>
          <w:tab w:val="left" w:pos="4395"/>
        </w:tabs>
        <w:snapToGrid w:val="0"/>
        <w:jc w:val="center"/>
        <w:rPr>
          <w:rFonts w:ascii="华文新魏" w:eastAsia="华文新魏"/>
          <w:color w:val="auto"/>
          <w:sz w:val="52"/>
          <w:szCs w:val="52"/>
        </w:rPr>
      </w:pPr>
      <w:r>
        <w:rPr>
          <w:rFonts w:hint="eastAsia" w:ascii="华文新魏" w:eastAsia="华文新魏"/>
          <w:color w:val="auto"/>
          <w:sz w:val="52"/>
          <w:szCs w:val="52"/>
        </w:rPr>
        <w:t xml:space="preserve">砺      博 </w:t>
      </w:r>
    </w:p>
    <w:p>
      <w:pPr>
        <w:widowControl/>
        <w:tabs>
          <w:tab w:val="left" w:pos="284"/>
          <w:tab w:val="left" w:pos="4536"/>
        </w:tabs>
        <w:snapToGrid w:val="0"/>
        <w:jc w:val="center"/>
        <w:rPr>
          <w:rFonts w:ascii="华文新魏" w:eastAsia="华文新魏"/>
          <w:color w:val="auto"/>
          <w:sz w:val="52"/>
          <w:szCs w:val="52"/>
        </w:rPr>
      </w:pPr>
      <w:r>
        <w:rPr>
          <w:rFonts w:hint="eastAsia" w:ascii="华文新魏" w:eastAsia="华文新魏"/>
          <w:color w:val="auto"/>
          <w:sz w:val="52"/>
          <w:szCs w:val="52"/>
        </w:rPr>
        <w:t xml:space="preserve">志      学      </w:t>
      </w:r>
    </w:p>
    <w:p>
      <w:pPr>
        <w:widowControl/>
        <w:tabs>
          <w:tab w:val="left" w:pos="284"/>
          <w:tab w:val="left" w:pos="1276"/>
          <w:tab w:val="left" w:pos="1560"/>
          <w:tab w:val="left" w:pos="4536"/>
        </w:tabs>
        <w:snapToGrid w:val="0"/>
        <w:rPr>
          <w:rFonts w:hint="eastAsia" w:ascii="华文新魏" w:eastAsia="华文新魏"/>
          <w:color w:val="auto"/>
          <w:sz w:val="52"/>
          <w:szCs w:val="52"/>
        </w:rPr>
      </w:pPr>
    </w:p>
    <w:p>
      <w:pPr>
        <w:widowControl/>
        <w:tabs>
          <w:tab w:val="left" w:pos="284"/>
          <w:tab w:val="left" w:pos="1276"/>
          <w:tab w:val="left" w:pos="1560"/>
          <w:tab w:val="left" w:pos="4536"/>
        </w:tabs>
        <w:snapToGrid w:val="0"/>
        <w:rPr>
          <w:rFonts w:hint="eastAsia" w:ascii="华文新魏" w:eastAsia="华文新魏"/>
          <w:color w:val="auto"/>
          <w:sz w:val="52"/>
          <w:szCs w:val="52"/>
        </w:rPr>
      </w:pPr>
      <w:r>
        <w:rPr>
          <w:rFonts w:hint="eastAsia" w:ascii="华文新魏" w:eastAsia="华文新魏"/>
          <w:color w:val="auto"/>
          <w:sz w:val="52"/>
          <w:szCs w:val="52"/>
        </w:rPr>
        <w:t xml:space="preserve">           尚</w:t>
      </w:r>
    </w:p>
    <w:p>
      <w:pPr>
        <w:widowControl/>
        <w:tabs>
          <w:tab w:val="left" w:pos="284"/>
          <w:tab w:val="left" w:pos="1276"/>
          <w:tab w:val="left" w:pos="1560"/>
          <w:tab w:val="left" w:pos="4536"/>
        </w:tabs>
        <w:snapToGrid w:val="0"/>
        <w:rPr>
          <w:rFonts w:hint="eastAsia" w:ascii="华文新魏" w:eastAsia="华文新魏"/>
          <w:color w:val="auto"/>
          <w:sz w:val="52"/>
          <w:szCs w:val="52"/>
        </w:rPr>
      </w:pPr>
      <w:r>
        <w:rPr>
          <w:rFonts w:hint="eastAsia" w:ascii="华文新魏" w:eastAsia="华文新魏"/>
          <w:color w:val="auto"/>
          <w:sz w:val="52"/>
          <w:szCs w:val="52"/>
        </w:rPr>
        <w:t xml:space="preserve">           实 </w:t>
      </w:r>
    </w:p>
    <w:p>
      <w:pPr>
        <w:widowControl/>
        <w:tabs>
          <w:tab w:val="left" w:pos="284"/>
          <w:tab w:val="left" w:pos="1418"/>
          <w:tab w:val="left" w:pos="1560"/>
          <w:tab w:val="left" w:pos="3686"/>
          <w:tab w:val="left" w:pos="3828"/>
          <w:tab w:val="left" w:pos="4536"/>
        </w:tabs>
        <w:snapToGrid w:val="0"/>
        <w:jc w:val="center"/>
        <w:rPr>
          <w:rFonts w:hint="eastAsia" w:ascii="华文新魏" w:eastAsia="华文新魏"/>
          <w:color w:val="auto"/>
          <w:sz w:val="52"/>
          <w:szCs w:val="52"/>
        </w:rPr>
      </w:pPr>
    </w:p>
    <w:p>
      <w:pPr>
        <w:widowControl/>
        <w:tabs>
          <w:tab w:val="left" w:pos="284"/>
          <w:tab w:val="left" w:pos="1418"/>
          <w:tab w:val="left" w:pos="1560"/>
          <w:tab w:val="left" w:pos="3686"/>
          <w:tab w:val="left" w:pos="3828"/>
          <w:tab w:val="left" w:pos="4536"/>
        </w:tabs>
        <w:snapToGrid w:val="0"/>
        <w:jc w:val="center"/>
        <w:rPr>
          <w:rFonts w:hint="eastAsia" w:ascii="华文新魏" w:eastAsia="华文新魏"/>
          <w:color w:val="auto"/>
          <w:sz w:val="52"/>
          <w:szCs w:val="52"/>
        </w:rPr>
      </w:pPr>
    </w:p>
    <w:p>
      <w:pPr>
        <w:pStyle w:val="2"/>
        <w:rPr>
          <w:rFonts w:hint="eastAsia"/>
          <w:color w:val="auto"/>
          <w:sz w:val="36"/>
        </w:rPr>
        <w:sectPr>
          <w:footerReference r:id="rId6" w:type="default"/>
          <w:footerReference r:id="rId7" w:type="even"/>
          <w:pgSz w:w="11906" w:h="16838"/>
          <w:pgMar w:top="1869" w:right="1797" w:bottom="1985" w:left="1797" w:header="851" w:footer="1701" w:gutter="0"/>
          <w:pgNumType w:fmt="decimal" w:start="1"/>
          <w:cols w:space="720" w:num="1"/>
          <w:docGrid w:type="lines" w:linePitch="312" w:charSpace="0"/>
        </w:sectPr>
      </w:pPr>
      <w:bookmarkStart w:id="0" w:name="_Toc3630"/>
      <w:bookmarkStart w:id="1" w:name="_Toc407709035"/>
    </w:p>
    <w:p>
      <w:pPr>
        <w:pStyle w:val="12"/>
        <w:jc w:val="center"/>
        <w:rPr>
          <w:rFonts w:hint="eastAsia"/>
          <w:b/>
          <w:bCs/>
          <w:color w:val="auto"/>
          <w:sz w:val="52"/>
          <w:szCs w:val="52"/>
        </w:rPr>
      </w:pPr>
      <w:bookmarkStart w:id="2" w:name="_Toc28313"/>
      <w:bookmarkStart w:id="3" w:name="_Toc30148"/>
      <w:bookmarkStart w:id="4" w:name="_Toc11729"/>
      <w:bookmarkStart w:id="5" w:name="_Toc21956"/>
      <w:r>
        <w:rPr>
          <w:rFonts w:hint="eastAsia"/>
          <w:b/>
          <w:bCs/>
          <w:color w:val="auto"/>
          <w:sz w:val="52"/>
          <w:szCs w:val="52"/>
        </w:rPr>
        <w:t>目  录</w:t>
      </w:r>
      <w:bookmarkEnd w:id="0"/>
      <w:bookmarkEnd w:id="1"/>
      <w:bookmarkEnd w:id="2"/>
      <w:bookmarkEnd w:id="3"/>
      <w:bookmarkEnd w:id="4"/>
      <w:bookmarkEnd w:id="5"/>
      <w:bookmarkStart w:id="6" w:name="_Hlt253058099"/>
      <w:bookmarkEnd w:id="6"/>
      <w:bookmarkStart w:id="7" w:name="_Hlt254995583"/>
      <w:bookmarkEnd w:id="7"/>
      <w:bookmarkStart w:id="8" w:name="_Hlt253439846"/>
      <w:bookmarkEnd w:id="8"/>
      <w:bookmarkStart w:id="9" w:name="_Hlt254995590"/>
      <w:bookmarkEnd w:id="9"/>
      <w:bookmarkStart w:id="10" w:name="_Hlt253441708"/>
      <w:bookmarkEnd w:id="10"/>
      <w:bookmarkStart w:id="11" w:name="_Hlt254995587"/>
      <w:bookmarkEnd w:id="11"/>
      <w:bookmarkStart w:id="12" w:name="_Hlt253439668"/>
      <w:bookmarkEnd w:id="12"/>
      <w:bookmarkStart w:id="13" w:name="_Toc318118447"/>
      <w:bookmarkStart w:id="14" w:name="_Toc318549000"/>
      <w:bookmarkStart w:id="15" w:name="_Toc262030335"/>
    </w:p>
    <w:p>
      <w:pPr>
        <w:rPr>
          <w:rFonts w:hint="default"/>
          <w:sz w:val="21"/>
        </w:rPr>
      </w:pPr>
    </w:p>
    <w:p>
      <w:pPr>
        <w:rPr>
          <w:rFonts w:hint="eastAsia"/>
          <w:color w:val="auto"/>
        </w:rPr>
      </w:pPr>
    </w:p>
    <w:p>
      <w:pPr>
        <w:pStyle w:val="12"/>
        <w:tabs>
          <w:tab w:val="right" w:leader="dot" w:pos="8313"/>
        </w:tabs>
        <w:spacing w:line="528" w:lineRule="auto"/>
        <w:rPr>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TOC \o "1-2" \h \u </w:instrText>
      </w:r>
      <w:r>
        <w:rPr>
          <w:rFonts w:hint="eastAsia" w:ascii="宋体" w:hAnsi="宋体" w:eastAsia="宋体" w:cs="宋体"/>
          <w:bCs/>
          <w:color w:val="auto"/>
          <w:sz w:val="24"/>
          <w:szCs w:val="24"/>
        </w:rPr>
        <w:fldChar w:fldCharType="separate"/>
      </w:r>
      <w:r>
        <w:rPr>
          <w:rFonts w:hint="eastAsia" w:ascii="宋体" w:hAnsi="宋体" w:eastAsia="宋体" w:cs="宋体"/>
          <w:bCs/>
          <w:color w:val="auto"/>
          <w:sz w:val="24"/>
          <w:szCs w:val="24"/>
        </w:rPr>
        <w:fldChar w:fldCharType="begin"/>
      </w:r>
      <w:r>
        <w:rPr>
          <w:rFonts w:hint="eastAsia" w:ascii="宋体" w:hAnsi="宋体" w:eastAsia="宋体" w:cs="宋体"/>
          <w:bCs/>
          <w:sz w:val="24"/>
          <w:szCs w:val="24"/>
        </w:rPr>
        <w:instrText xml:space="preserve"> HYPERLINK \l _Toc28360 </w:instrText>
      </w:r>
      <w:r>
        <w:rPr>
          <w:rFonts w:hint="eastAsia" w:ascii="宋体" w:hAnsi="宋体" w:eastAsia="宋体" w:cs="宋体"/>
          <w:bCs/>
          <w:sz w:val="24"/>
          <w:szCs w:val="24"/>
        </w:rPr>
        <w:fldChar w:fldCharType="separate"/>
      </w:r>
      <w:r>
        <w:rPr>
          <w:rFonts w:hint="eastAsia" w:ascii="Cambria" w:hAnsi="Cambria" w:eastAsia="宋体" w:cs="Times New Roman"/>
          <w:bCs/>
          <w:kern w:val="2"/>
          <w:sz w:val="24"/>
          <w:szCs w:val="24"/>
          <w:lang w:val="en-US" w:eastAsia="zh-CN" w:bidi="ar-SA"/>
        </w:rPr>
        <w:t>普通高等学校学生管理规定</w:t>
      </w:r>
      <w:r>
        <w:rPr>
          <w:sz w:val="24"/>
          <w:szCs w:val="24"/>
        </w:rPr>
        <w:tab/>
      </w:r>
      <w:r>
        <w:rPr>
          <w:sz w:val="24"/>
          <w:szCs w:val="24"/>
        </w:rPr>
        <w:fldChar w:fldCharType="begin"/>
      </w:r>
      <w:r>
        <w:rPr>
          <w:sz w:val="24"/>
          <w:szCs w:val="24"/>
        </w:rPr>
        <w:instrText xml:space="preserve"> PAGEREF _Toc28360 \h </w:instrText>
      </w:r>
      <w:r>
        <w:rPr>
          <w:sz w:val="24"/>
          <w:szCs w:val="24"/>
        </w:rPr>
        <w:fldChar w:fldCharType="separate"/>
      </w:r>
      <w:r>
        <w:rPr>
          <w:sz w:val="24"/>
          <w:szCs w:val="24"/>
        </w:rPr>
        <w:t>1</w:t>
      </w:r>
      <w:r>
        <w:rPr>
          <w:sz w:val="24"/>
          <w:szCs w:val="24"/>
        </w:rPr>
        <w:fldChar w:fldCharType="end"/>
      </w:r>
      <w:r>
        <w:rPr>
          <w:rFonts w:hint="eastAsia" w:ascii="宋体" w:hAnsi="宋体" w:eastAsia="宋体" w:cs="宋体"/>
          <w:bCs/>
          <w:color w:val="auto"/>
          <w:sz w:val="24"/>
          <w:szCs w:val="24"/>
        </w:rPr>
        <w:fldChar w:fldCharType="end"/>
      </w:r>
    </w:p>
    <w:p>
      <w:pPr>
        <w:pStyle w:val="12"/>
        <w:tabs>
          <w:tab w:val="right" w:leader="dot" w:pos="8313"/>
        </w:tabs>
        <w:spacing w:line="528" w:lineRule="auto"/>
        <w:rPr>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sz w:val="24"/>
          <w:szCs w:val="24"/>
        </w:rPr>
        <w:instrText xml:space="preserve"> HYPERLINK \l _Toc10538 </w:instrText>
      </w:r>
      <w:r>
        <w:rPr>
          <w:rFonts w:hint="eastAsia" w:ascii="宋体" w:hAnsi="宋体" w:eastAsia="宋体" w:cs="宋体"/>
          <w:bCs/>
          <w:sz w:val="24"/>
          <w:szCs w:val="24"/>
        </w:rPr>
        <w:fldChar w:fldCharType="separate"/>
      </w:r>
      <w:r>
        <w:rPr>
          <w:rFonts w:hint="eastAsia" w:ascii="Cambria" w:hAnsi="Cambria" w:eastAsia="宋体" w:cs="Times New Roman"/>
          <w:bCs/>
          <w:kern w:val="2"/>
          <w:sz w:val="24"/>
          <w:szCs w:val="24"/>
          <w:lang w:val="en-US" w:eastAsia="zh-CN" w:bidi="ar-SA"/>
        </w:rPr>
        <w:t>高等学校学生行为准则</w:t>
      </w:r>
      <w:r>
        <w:rPr>
          <w:sz w:val="24"/>
          <w:szCs w:val="24"/>
        </w:rPr>
        <w:tab/>
      </w:r>
      <w:r>
        <w:rPr>
          <w:sz w:val="24"/>
          <w:szCs w:val="24"/>
        </w:rPr>
        <w:fldChar w:fldCharType="begin"/>
      </w:r>
      <w:r>
        <w:rPr>
          <w:sz w:val="24"/>
          <w:szCs w:val="24"/>
        </w:rPr>
        <w:instrText xml:space="preserve"> PAGEREF _Toc10538 \h </w:instrText>
      </w:r>
      <w:r>
        <w:rPr>
          <w:sz w:val="24"/>
          <w:szCs w:val="24"/>
        </w:rPr>
        <w:fldChar w:fldCharType="separate"/>
      </w:r>
      <w:r>
        <w:rPr>
          <w:sz w:val="24"/>
          <w:szCs w:val="24"/>
        </w:rPr>
        <w:t>14</w:t>
      </w:r>
      <w:r>
        <w:rPr>
          <w:sz w:val="24"/>
          <w:szCs w:val="24"/>
        </w:rPr>
        <w:fldChar w:fldCharType="end"/>
      </w:r>
      <w:r>
        <w:rPr>
          <w:rFonts w:hint="eastAsia" w:ascii="宋体" w:hAnsi="宋体" w:eastAsia="宋体" w:cs="宋体"/>
          <w:bCs/>
          <w:color w:val="auto"/>
          <w:sz w:val="24"/>
          <w:szCs w:val="24"/>
        </w:rPr>
        <w:fldChar w:fldCharType="end"/>
      </w:r>
    </w:p>
    <w:p>
      <w:pPr>
        <w:pStyle w:val="12"/>
        <w:tabs>
          <w:tab w:val="right" w:leader="dot" w:pos="8313"/>
        </w:tabs>
        <w:spacing w:line="528" w:lineRule="auto"/>
        <w:rPr>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sz w:val="24"/>
          <w:szCs w:val="24"/>
        </w:rPr>
        <w:instrText xml:space="preserve"> HYPERLINK \l _Toc5074 </w:instrText>
      </w:r>
      <w:r>
        <w:rPr>
          <w:rFonts w:hint="eastAsia" w:ascii="宋体" w:hAnsi="宋体" w:eastAsia="宋体" w:cs="宋体"/>
          <w:bCs/>
          <w:sz w:val="24"/>
          <w:szCs w:val="24"/>
        </w:rPr>
        <w:fldChar w:fldCharType="separate"/>
      </w:r>
      <w:r>
        <w:rPr>
          <w:rFonts w:hint="eastAsia" w:ascii="Cambria" w:hAnsi="Cambria"/>
          <w:kern w:val="2"/>
          <w:sz w:val="24"/>
          <w:szCs w:val="24"/>
        </w:rPr>
        <w:t>东华大学</w:t>
      </w:r>
      <w:r>
        <w:rPr>
          <w:rFonts w:hint="eastAsia" w:ascii="Cambria" w:hAnsi="Cambria"/>
          <w:kern w:val="2"/>
          <w:sz w:val="24"/>
          <w:szCs w:val="24"/>
          <w:lang w:val="en-US" w:eastAsia="zh-CN"/>
        </w:rPr>
        <w:t>学生</w:t>
      </w:r>
      <w:r>
        <w:rPr>
          <w:rFonts w:hint="eastAsia" w:ascii="Cambria" w:hAnsi="Cambria"/>
          <w:kern w:val="2"/>
          <w:sz w:val="24"/>
          <w:szCs w:val="24"/>
        </w:rPr>
        <w:t>网络行为“十不”规范</w:t>
      </w:r>
      <w:r>
        <w:rPr>
          <w:sz w:val="24"/>
          <w:szCs w:val="24"/>
        </w:rPr>
        <w:tab/>
      </w:r>
      <w:r>
        <w:rPr>
          <w:sz w:val="24"/>
          <w:szCs w:val="24"/>
        </w:rPr>
        <w:fldChar w:fldCharType="begin"/>
      </w:r>
      <w:r>
        <w:rPr>
          <w:sz w:val="24"/>
          <w:szCs w:val="24"/>
        </w:rPr>
        <w:instrText xml:space="preserve"> PAGEREF _Toc5074 \h </w:instrText>
      </w:r>
      <w:r>
        <w:rPr>
          <w:sz w:val="24"/>
          <w:szCs w:val="24"/>
        </w:rPr>
        <w:fldChar w:fldCharType="separate"/>
      </w:r>
      <w:r>
        <w:rPr>
          <w:sz w:val="24"/>
          <w:szCs w:val="24"/>
        </w:rPr>
        <w:t>15</w:t>
      </w:r>
      <w:r>
        <w:rPr>
          <w:sz w:val="24"/>
          <w:szCs w:val="24"/>
        </w:rPr>
        <w:fldChar w:fldCharType="end"/>
      </w:r>
      <w:r>
        <w:rPr>
          <w:rFonts w:hint="eastAsia" w:ascii="宋体" w:hAnsi="宋体" w:eastAsia="宋体" w:cs="宋体"/>
          <w:bCs/>
          <w:color w:val="auto"/>
          <w:sz w:val="24"/>
          <w:szCs w:val="24"/>
        </w:rPr>
        <w:fldChar w:fldCharType="end"/>
      </w:r>
    </w:p>
    <w:p>
      <w:pPr>
        <w:pStyle w:val="12"/>
        <w:tabs>
          <w:tab w:val="right" w:leader="dot" w:pos="8313"/>
        </w:tabs>
        <w:spacing w:line="528" w:lineRule="auto"/>
        <w:rPr>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sz w:val="24"/>
          <w:szCs w:val="24"/>
        </w:rPr>
        <w:instrText xml:space="preserve"> HYPERLINK \l _Toc28003 </w:instrText>
      </w:r>
      <w:r>
        <w:rPr>
          <w:rFonts w:hint="eastAsia" w:ascii="宋体" w:hAnsi="宋体" w:eastAsia="宋体" w:cs="宋体"/>
          <w:bCs/>
          <w:sz w:val="24"/>
          <w:szCs w:val="24"/>
        </w:rPr>
        <w:fldChar w:fldCharType="separate"/>
      </w:r>
      <w:r>
        <w:rPr>
          <w:rFonts w:hint="eastAsia" w:ascii="Cambria" w:hAnsi="Cambria" w:eastAsia="宋体" w:cs="Times New Roman"/>
          <w:bCs/>
          <w:sz w:val="24"/>
          <w:szCs w:val="24"/>
        </w:rPr>
        <w:t>东华大学高等学历继续教育学生学籍管理规定</w:t>
      </w:r>
      <w:r>
        <w:rPr>
          <w:sz w:val="24"/>
          <w:szCs w:val="24"/>
        </w:rPr>
        <w:tab/>
      </w:r>
      <w:r>
        <w:rPr>
          <w:sz w:val="24"/>
          <w:szCs w:val="24"/>
        </w:rPr>
        <w:fldChar w:fldCharType="begin"/>
      </w:r>
      <w:r>
        <w:rPr>
          <w:sz w:val="24"/>
          <w:szCs w:val="24"/>
        </w:rPr>
        <w:instrText xml:space="preserve"> PAGEREF _Toc28003 \h </w:instrText>
      </w:r>
      <w:r>
        <w:rPr>
          <w:sz w:val="24"/>
          <w:szCs w:val="24"/>
        </w:rPr>
        <w:fldChar w:fldCharType="separate"/>
      </w:r>
      <w:r>
        <w:rPr>
          <w:sz w:val="24"/>
          <w:szCs w:val="24"/>
        </w:rPr>
        <w:t>16</w:t>
      </w:r>
      <w:r>
        <w:rPr>
          <w:sz w:val="24"/>
          <w:szCs w:val="24"/>
        </w:rPr>
        <w:fldChar w:fldCharType="end"/>
      </w:r>
      <w:r>
        <w:rPr>
          <w:rFonts w:hint="eastAsia" w:ascii="宋体" w:hAnsi="宋体" w:eastAsia="宋体" w:cs="宋体"/>
          <w:bCs/>
          <w:color w:val="auto"/>
          <w:sz w:val="24"/>
          <w:szCs w:val="24"/>
        </w:rPr>
        <w:fldChar w:fldCharType="end"/>
      </w:r>
    </w:p>
    <w:p>
      <w:pPr>
        <w:pStyle w:val="12"/>
        <w:tabs>
          <w:tab w:val="right" w:leader="dot" w:pos="8313"/>
        </w:tabs>
        <w:spacing w:line="528" w:lineRule="auto"/>
        <w:rPr>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sz w:val="24"/>
          <w:szCs w:val="24"/>
        </w:rPr>
        <w:instrText xml:space="preserve"> HYPERLINK \l _Toc8004 </w:instrText>
      </w:r>
      <w:r>
        <w:rPr>
          <w:rFonts w:hint="eastAsia" w:ascii="宋体" w:hAnsi="宋体" w:eastAsia="宋体" w:cs="宋体"/>
          <w:bCs/>
          <w:sz w:val="24"/>
          <w:szCs w:val="24"/>
        </w:rPr>
        <w:fldChar w:fldCharType="separate"/>
      </w:r>
      <w:r>
        <w:rPr>
          <w:rFonts w:hint="default" w:ascii="Cambria" w:hAnsi="Cambria" w:cs="Times New Roman"/>
          <w:bCs/>
          <w:kern w:val="2"/>
          <w:sz w:val="24"/>
          <w:szCs w:val="24"/>
          <w:lang w:val="en-US" w:eastAsia="zh-CN" w:bidi="ar-SA"/>
        </w:rPr>
        <w:t>东华大学高等学历继续教育本科毕业生</w:t>
      </w:r>
      <w:r>
        <w:rPr>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rPr>
        <w:fldChar w:fldCharType="begin"/>
      </w:r>
      <w:r>
        <w:rPr>
          <w:rFonts w:hint="eastAsia" w:ascii="宋体" w:hAnsi="宋体" w:eastAsia="宋体" w:cs="宋体"/>
          <w:bCs/>
          <w:sz w:val="24"/>
          <w:szCs w:val="24"/>
        </w:rPr>
        <w:instrText xml:space="preserve"> HYPERLINK \l _Toc27732 </w:instrText>
      </w:r>
      <w:r>
        <w:rPr>
          <w:rFonts w:hint="eastAsia" w:ascii="宋体" w:hAnsi="宋体" w:eastAsia="宋体" w:cs="宋体"/>
          <w:bCs/>
          <w:sz w:val="24"/>
          <w:szCs w:val="24"/>
        </w:rPr>
        <w:fldChar w:fldCharType="separate"/>
      </w:r>
      <w:r>
        <w:rPr>
          <w:rFonts w:hint="default" w:ascii="Cambria" w:hAnsi="Cambria" w:cs="Times New Roman"/>
          <w:bCs/>
          <w:kern w:val="2"/>
          <w:sz w:val="24"/>
          <w:szCs w:val="24"/>
          <w:lang w:val="en-US" w:eastAsia="zh-CN" w:bidi="ar-SA"/>
        </w:rPr>
        <w:t>申请授予学士学位实施细则</w:t>
      </w:r>
      <w:r>
        <w:rPr>
          <w:sz w:val="24"/>
          <w:szCs w:val="24"/>
        </w:rPr>
        <w:tab/>
      </w:r>
      <w:r>
        <w:rPr>
          <w:sz w:val="24"/>
          <w:szCs w:val="24"/>
        </w:rPr>
        <w:fldChar w:fldCharType="begin"/>
      </w:r>
      <w:r>
        <w:rPr>
          <w:sz w:val="24"/>
          <w:szCs w:val="24"/>
        </w:rPr>
        <w:instrText xml:space="preserve"> PAGEREF _Toc27732 \h </w:instrText>
      </w:r>
      <w:r>
        <w:rPr>
          <w:sz w:val="24"/>
          <w:szCs w:val="24"/>
        </w:rPr>
        <w:fldChar w:fldCharType="separate"/>
      </w:r>
      <w:r>
        <w:rPr>
          <w:sz w:val="24"/>
          <w:szCs w:val="24"/>
        </w:rPr>
        <w:t>22</w:t>
      </w:r>
      <w:r>
        <w:rPr>
          <w:sz w:val="24"/>
          <w:szCs w:val="24"/>
        </w:rPr>
        <w:fldChar w:fldCharType="end"/>
      </w:r>
      <w:r>
        <w:rPr>
          <w:rFonts w:hint="eastAsia" w:ascii="宋体" w:hAnsi="宋体" w:eastAsia="宋体" w:cs="宋体"/>
          <w:bCs/>
          <w:color w:val="auto"/>
          <w:sz w:val="24"/>
          <w:szCs w:val="24"/>
        </w:rPr>
        <w:fldChar w:fldCharType="end"/>
      </w:r>
    </w:p>
    <w:p>
      <w:pPr>
        <w:pStyle w:val="12"/>
        <w:tabs>
          <w:tab w:val="right" w:leader="dot" w:pos="8313"/>
        </w:tabs>
        <w:spacing w:line="528" w:lineRule="auto"/>
        <w:rPr>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sz w:val="24"/>
          <w:szCs w:val="24"/>
        </w:rPr>
        <w:instrText xml:space="preserve"> HYPERLINK \l _Toc16830 </w:instrText>
      </w:r>
      <w:r>
        <w:rPr>
          <w:rFonts w:hint="eastAsia" w:ascii="宋体" w:hAnsi="宋体" w:eastAsia="宋体" w:cs="宋体"/>
          <w:bCs/>
          <w:sz w:val="24"/>
          <w:szCs w:val="24"/>
        </w:rPr>
        <w:fldChar w:fldCharType="separate"/>
      </w:r>
      <w:r>
        <w:rPr>
          <w:rFonts w:hint="eastAsia" w:ascii="Cambria" w:hAnsi="Cambria" w:eastAsia="宋体" w:cs="Times New Roman"/>
          <w:bCs/>
          <w:kern w:val="2"/>
          <w:sz w:val="24"/>
          <w:szCs w:val="24"/>
          <w:lang w:val="en-US" w:eastAsia="zh-CN" w:bidi="ar-SA"/>
        </w:rPr>
        <w:t>东华大学学历继续教育学生违纪处分规定</w:t>
      </w:r>
      <w:r>
        <w:rPr>
          <w:sz w:val="24"/>
          <w:szCs w:val="24"/>
        </w:rPr>
        <w:tab/>
      </w:r>
      <w:r>
        <w:rPr>
          <w:sz w:val="24"/>
          <w:szCs w:val="24"/>
        </w:rPr>
        <w:fldChar w:fldCharType="begin"/>
      </w:r>
      <w:r>
        <w:rPr>
          <w:sz w:val="24"/>
          <w:szCs w:val="24"/>
        </w:rPr>
        <w:instrText xml:space="preserve"> PAGEREF _Toc16830 \h </w:instrText>
      </w:r>
      <w:r>
        <w:rPr>
          <w:sz w:val="24"/>
          <w:szCs w:val="24"/>
        </w:rPr>
        <w:fldChar w:fldCharType="separate"/>
      </w:r>
      <w:r>
        <w:rPr>
          <w:sz w:val="24"/>
          <w:szCs w:val="24"/>
        </w:rPr>
        <w:t>24</w:t>
      </w:r>
      <w:r>
        <w:rPr>
          <w:sz w:val="24"/>
          <w:szCs w:val="24"/>
        </w:rPr>
        <w:fldChar w:fldCharType="end"/>
      </w:r>
      <w:r>
        <w:rPr>
          <w:rFonts w:hint="eastAsia" w:ascii="宋体" w:hAnsi="宋体" w:eastAsia="宋体" w:cs="宋体"/>
          <w:bCs/>
          <w:color w:val="auto"/>
          <w:sz w:val="24"/>
          <w:szCs w:val="24"/>
        </w:rPr>
        <w:fldChar w:fldCharType="end"/>
      </w:r>
    </w:p>
    <w:p>
      <w:pPr>
        <w:pStyle w:val="12"/>
        <w:tabs>
          <w:tab w:val="right" w:leader="dot" w:pos="8313"/>
        </w:tabs>
        <w:spacing w:line="528" w:lineRule="auto"/>
        <w:rPr>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sz w:val="24"/>
          <w:szCs w:val="24"/>
        </w:rPr>
        <w:instrText xml:space="preserve"> HYPERLINK \l _Toc7581 </w:instrText>
      </w:r>
      <w:r>
        <w:rPr>
          <w:rFonts w:hint="eastAsia" w:ascii="宋体" w:hAnsi="宋体" w:eastAsia="宋体" w:cs="宋体"/>
          <w:bCs/>
          <w:sz w:val="24"/>
          <w:szCs w:val="24"/>
        </w:rPr>
        <w:fldChar w:fldCharType="separate"/>
      </w:r>
      <w:r>
        <w:rPr>
          <w:rFonts w:hint="eastAsia"/>
          <w:sz w:val="24"/>
          <w:szCs w:val="24"/>
        </w:rPr>
        <w:t>东华大学</w:t>
      </w:r>
      <w:r>
        <w:rPr>
          <w:rFonts w:hint="eastAsia"/>
          <w:sz w:val="24"/>
          <w:szCs w:val="24"/>
          <w:lang w:eastAsia="zh-CN"/>
        </w:rPr>
        <w:t>学历继续</w:t>
      </w:r>
      <w:r>
        <w:rPr>
          <w:rFonts w:hint="eastAsia"/>
          <w:sz w:val="24"/>
          <w:szCs w:val="24"/>
        </w:rPr>
        <w:t>教育学生奖学金评定和荣誉称号授予办法</w:t>
      </w:r>
      <w:r>
        <w:rPr>
          <w:sz w:val="24"/>
          <w:szCs w:val="24"/>
        </w:rPr>
        <w:tab/>
      </w:r>
      <w:r>
        <w:rPr>
          <w:sz w:val="24"/>
          <w:szCs w:val="24"/>
        </w:rPr>
        <w:fldChar w:fldCharType="begin"/>
      </w:r>
      <w:r>
        <w:rPr>
          <w:sz w:val="24"/>
          <w:szCs w:val="24"/>
        </w:rPr>
        <w:instrText xml:space="preserve"> PAGEREF _Toc7581 \h </w:instrText>
      </w:r>
      <w:r>
        <w:rPr>
          <w:sz w:val="24"/>
          <w:szCs w:val="24"/>
        </w:rPr>
        <w:fldChar w:fldCharType="separate"/>
      </w:r>
      <w:r>
        <w:rPr>
          <w:sz w:val="24"/>
          <w:szCs w:val="24"/>
        </w:rPr>
        <w:t>32</w:t>
      </w:r>
      <w:r>
        <w:rPr>
          <w:sz w:val="24"/>
          <w:szCs w:val="24"/>
        </w:rPr>
        <w:fldChar w:fldCharType="end"/>
      </w:r>
      <w:r>
        <w:rPr>
          <w:rFonts w:hint="eastAsia" w:ascii="宋体" w:hAnsi="宋体" w:eastAsia="宋体" w:cs="宋体"/>
          <w:bCs/>
          <w:color w:val="auto"/>
          <w:sz w:val="24"/>
          <w:szCs w:val="24"/>
        </w:rPr>
        <w:fldChar w:fldCharType="end"/>
      </w:r>
    </w:p>
    <w:p>
      <w:pPr>
        <w:pStyle w:val="12"/>
        <w:tabs>
          <w:tab w:val="right" w:leader="dot" w:pos="8313"/>
        </w:tabs>
        <w:spacing w:line="528" w:lineRule="auto"/>
        <w:rPr>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sz w:val="24"/>
          <w:szCs w:val="24"/>
        </w:rPr>
        <w:instrText xml:space="preserve"> HYPERLINK \l _Toc32730 </w:instrText>
      </w:r>
      <w:r>
        <w:rPr>
          <w:rFonts w:hint="eastAsia" w:ascii="宋体" w:hAnsi="宋体" w:eastAsia="宋体" w:cs="宋体"/>
          <w:bCs/>
          <w:sz w:val="24"/>
          <w:szCs w:val="24"/>
        </w:rPr>
        <w:fldChar w:fldCharType="separate"/>
      </w:r>
      <w:r>
        <w:rPr>
          <w:rFonts w:hint="default" w:ascii="Times New Roman" w:hAnsi="Times New Roman" w:eastAsia="宋体" w:cs="Times New Roman"/>
          <w:bCs/>
          <w:kern w:val="44"/>
          <w:sz w:val="24"/>
          <w:szCs w:val="24"/>
          <w:lang w:val="en-US" w:eastAsia="zh-CN" w:bidi="ar-SA"/>
        </w:rPr>
        <w:t>东华大学</w:t>
      </w:r>
      <w:r>
        <w:rPr>
          <w:rFonts w:hint="default" w:cs="Times New Roman"/>
          <w:bCs/>
          <w:kern w:val="44"/>
          <w:sz w:val="24"/>
          <w:szCs w:val="24"/>
          <w:lang w:val="en-US" w:eastAsia="zh-CN" w:bidi="ar-SA"/>
        </w:rPr>
        <w:t>学历</w:t>
      </w:r>
      <w:r>
        <w:rPr>
          <w:rFonts w:hint="default" w:ascii="Times New Roman" w:hAnsi="Times New Roman" w:eastAsia="宋体" w:cs="Times New Roman"/>
          <w:bCs/>
          <w:kern w:val="44"/>
          <w:sz w:val="24"/>
          <w:szCs w:val="24"/>
          <w:lang w:val="en-US" w:eastAsia="zh-CN" w:bidi="ar-SA"/>
        </w:rPr>
        <w:t>继续教育上海市终身教育学分银行</w:t>
      </w:r>
      <w:r>
        <w:rPr>
          <w:rFonts w:hint="eastAsia" w:ascii="宋体" w:hAnsi="宋体" w:eastAsia="宋体" w:cs="宋体"/>
          <w:bCs/>
          <w:color w:val="auto"/>
          <w:sz w:val="24"/>
          <w:szCs w:val="24"/>
        </w:rPr>
        <w:fldChar w:fldCharType="end"/>
      </w:r>
      <w:r>
        <w:rPr>
          <w:rFonts w:hint="eastAsia" w:ascii="宋体" w:hAnsi="宋体" w:eastAsia="宋体" w:cs="宋体"/>
          <w:bCs/>
          <w:color w:val="auto"/>
          <w:sz w:val="24"/>
          <w:szCs w:val="24"/>
        </w:rPr>
        <w:fldChar w:fldCharType="begin"/>
      </w:r>
      <w:r>
        <w:rPr>
          <w:rFonts w:hint="eastAsia" w:ascii="宋体" w:hAnsi="宋体" w:eastAsia="宋体" w:cs="宋体"/>
          <w:bCs/>
          <w:sz w:val="24"/>
          <w:szCs w:val="24"/>
        </w:rPr>
        <w:instrText xml:space="preserve"> HYPERLINK \l _Toc6408 </w:instrText>
      </w:r>
      <w:r>
        <w:rPr>
          <w:rFonts w:hint="eastAsia" w:ascii="宋体" w:hAnsi="宋体" w:eastAsia="宋体" w:cs="宋体"/>
          <w:bCs/>
          <w:sz w:val="24"/>
          <w:szCs w:val="24"/>
        </w:rPr>
        <w:fldChar w:fldCharType="separate"/>
      </w:r>
      <w:r>
        <w:rPr>
          <w:rFonts w:hint="default" w:ascii="Times New Roman" w:hAnsi="Times New Roman" w:eastAsia="宋体" w:cs="Times New Roman"/>
          <w:bCs/>
          <w:kern w:val="44"/>
          <w:sz w:val="24"/>
          <w:szCs w:val="24"/>
          <w:lang w:val="en-US" w:eastAsia="zh-CN" w:bidi="ar-SA"/>
        </w:rPr>
        <w:t>学分转换定（试行）</w:t>
      </w:r>
      <w:r>
        <w:rPr>
          <w:sz w:val="24"/>
          <w:szCs w:val="24"/>
        </w:rPr>
        <w:tab/>
      </w:r>
      <w:r>
        <w:rPr>
          <w:sz w:val="24"/>
          <w:szCs w:val="24"/>
        </w:rPr>
        <w:fldChar w:fldCharType="begin"/>
      </w:r>
      <w:r>
        <w:rPr>
          <w:sz w:val="24"/>
          <w:szCs w:val="24"/>
        </w:rPr>
        <w:instrText xml:space="preserve"> PAGEREF _Toc6408 \h </w:instrText>
      </w:r>
      <w:r>
        <w:rPr>
          <w:sz w:val="24"/>
          <w:szCs w:val="24"/>
        </w:rPr>
        <w:fldChar w:fldCharType="separate"/>
      </w:r>
      <w:r>
        <w:rPr>
          <w:sz w:val="24"/>
          <w:szCs w:val="24"/>
        </w:rPr>
        <w:t>34</w:t>
      </w:r>
      <w:r>
        <w:rPr>
          <w:sz w:val="24"/>
          <w:szCs w:val="24"/>
        </w:rPr>
        <w:fldChar w:fldCharType="end"/>
      </w:r>
      <w:r>
        <w:rPr>
          <w:rFonts w:hint="eastAsia" w:ascii="宋体" w:hAnsi="宋体" w:eastAsia="宋体" w:cs="宋体"/>
          <w:bCs/>
          <w:color w:val="auto"/>
          <w:sz w:val="24"/>
          <w:szCs w:val="24"/>
        </w:rPr>
        <w:fldChar w:fldCharType="end"/>
      </w:r>
    </w:p>
    <w:p>
      <w:pPr>
        <w:pStyle w:val="12"/>
        <w:tabs>
          <w:tab w:val="right" w:leader="dot" w:pos="8313"/>
        </w:tabs>
        <w:spacing w:line="528" w:lineRule="auto"/>
        <w:rPr>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sz w:val="24"/>
          <w:szCs w:val="24"/>
        </w:rPr>
        <w:instrText xml:space="preserve"> HYPERLINK \l _Toc27012 </w:instrText>
      </w:r>
      <w:r>
        <w:rPr>
          <w:rFonts w:hint="eastAsia" w:ascii="宋体" w:hAnsi="宋体" w:eastAsia="宋体" w:cs="宋体"/>
          <w:bCs/>
          <w:sz w:val="24"/>
          <w:szCs w:val="24"/>
        </w:rPr>
        <w:fldChar w:fldCharType="separate"/>
      </w:r>
      <w:r>
        <w:rPr>
          <w:rFonts w:hint="eastAsia" w:ascii="Times New Roman" w:hAnsi="Times New Roman" w:cs="Times New Roman"/>
          <w:sz w:val="24"/>
          <w:szCs w:val="24"/>
        </w:rPr>
        <w:t>东华大学</w:t>
      </w:r>
      <w:r>
        <w:rPr>
          <w:rFonts w:hint="eastAsia" w:ascii="Times New Roman" w:hAnsi="Times New Roman" w:cs="Times New Roman"/>
          <w:sz w:val="24"/>
          <w:szCs w:val="24"/>
          <w:lang w:eastAsia="zh-CN"/>
        </w:rPr>
        <w:t>高等学历继续教育</w:t>
      </w:r>
      <w:r>
        <w:rPr>
          <w:rFonts w:hint="eastAsia" w:ascii="Times New Roman" w:hAnsi="Times New Roman" w:cs="Times New Roman"/>
          <w:sz w:val="24"/>
          <w:szCs w:val="24"/>
        </w:rPr>
        <w:t>课程成绩构成</w:t>
      </w:r>
      <w:r>
        <w:rPr>
          <w:rFonts w:hint="eastAsia" w:ascii="Times New Roman" w:hAnsi="Times New Roman" w:cs="Times New Roman"/>
          <w:sz w:val="24"/>
          <w:szCs w:val="24"/>
          <w:lang w:eastAsia="zh-CN"/>
        </w:rPr>
        <w:t>与</w:t>
      </w:r>
      <w:r>
        <w:rPr>
          <w:rFonts w:hint="eastAsia" w:ascii="Times New Roman" w:hAnsi="Times New Roman" w:cs="Times New Roman"/>
          <w:sz w:val="24"/>
          <w:szCs w:val="24"/>
        </w:rPr>
        <w:t>记载</w:t>
      </w:r>
      <w:r>
        <w:rPr>
          <w:rFonts w:hint="eastAsia" w:ascii="Times New Roman" w:hAnsi="Times New Roman" w:cs="Times New Roman"/>
          <w:sz w:val="24"/>
          <w:szCs w:val="24"/>
          <w:lang w:eastAsia="zh-CN"/>
        </w:rPr>
        <w:t>办法</w:t>
      </w:r>
      <w:r>
        <w:rPr>
          <w:sz w:val="24"/>
          <w:szCs w:val="24"/>
        </w:rPr>
        <w:tab/>
      </w:r>
      <w:r>
        <w:rPr>
          <w:sz w:val="24"/>
          <w:szCs w:val="24"/>
        </w:rPr>
        <w:fldChar w:fldCharType="begin"/>
      </w:r>
      <w:r>
        <w:rPr>
          <w:sz w:val="24"/>
          <w:szCs w:val="24"/>
        </w:rPr>
        <w:instrText xml:space="preserve"> PAGEREF _Toc27012 \h </w:instrText>
      </w:r>
      <w:r>
        <w:rPr>
          <w:sz w:val="24"/>
          <w:szCs w:val="24"/>
        </w:rPr>
        <w:fldChar w:fldCharType="separate"/>
      </w:r>
      <w:r>
        <w:rPr>
          <w:sz w:val="24"/>
          <w:szCs w:val="24"/>
        </w:rPr>
        <w:t>36</w:t>
      </w:r>
      <w:r>
        <w:rPr>
          <w:sz w:val="24"/>
          <w:szCs w:val="24"/>
        </w:rPr>
        <w:fldChar w:fldCharType="end"/>
      </w:r>
      <w:r>
        <w:rPr>
          <w:rFonts w:hint="eastAsia" w:ascii="宋体" w:hAnsi="宋体" w:eastAsia="宋体" w:cs="宋体"/>
          <w:bCs/>
          <w:color w:val="auto"/>
          <w:sz w:val="24"/>
          <w:szCs w:val="24"/>
        </w:rPr>
        <w:fldChar w:fldCharType="end"/>
      </w:r>
    </w:p>
    <w:p>
      <w:pPr>
        <w:pStyle w:val="12"/>
        <w:tabs>
          <w:tab w:val="right" w:leader="dot" w:pos="8313"/>
        </w:tabs>
        <w:spacing w:line="528" w:lineRule="auto"/>
        <w:rPr>
          <w:sz w:val="24"/>
          <w:szCs w:val="24"/>
        </w:rPr>
      </w:pPr>
      <w:r>
        <w:rPr>
          <w:rFonts w:hint="eastAsia" w:ascii="宋体" w:hAnsi="宋体" w:eastAsia="宋体" w:cs="宋体"/>
          <w:bCs/>
          <w:color w:val="auto"/>
          <w:sz w:val="24"/>
          <w:szCs w:val="24"/>
        </w:rPr>
        <w:fldChar w:fldCharType="begin"/>
      </w:r>
      <w:r>
        <w:rPr>
          <w:rFonts w:hint="eastAsia" w:ascii="宋体" w:hAnsi="宋体" w:eastAsia="宋体" w:cs="宋体"/>
          <w:bCs/>
          <w:sz w:val="24"/>
          <w:szCs w:val="24"/>
        </w:rPr>
        <w:instrText xml:space="preserve"> HYPERLINK \l _Toc20715 </w:instrText>
      </w:r>
      <w:r>
        <w:rPr>
          <w:rFonts w:hint="eastAsia" w:ascii="宋体" w:hAnsi="宋体" w:eastAsia="宋体" w:cs="宋体"/>
          <w:bCs/>
          <w:sz w:val="24"/>
          <w:szCs w:val="24"/>
        </w:rPr>
        <w:fldChar w:fldCharType="separate"/>
      </w:r>
      <w:r>
        <w:rPr>
          <w:rFonts w:hint="eastAsia" w:cs="Times New Roman"/>
          <w:bCs/>
          <w:kern w:val="2"/>
          <w:sz w:val="24"/>
          <w:szCs w:val="24"/>
          <w:lang w:val="en-US" w:eastAsia="zh-CN" w:bidi="ar-SA"/>
        </w:rPr>
        <w:t>东华大学继续教育学院</w:t>
      </w:r>
      <w:r>
        <w:rPr>
          <w:rFonts w:hint="eastAsia" w:ascii="Cambria" w:hAnsi="Cambria" w:eastAsia="宋体" w:cs="Times New Roman"/>
          <w:bCs/>
          <w:kern w:val="2"/>
          <w:sz w:val="24"/>
          <w:szCs w:val="24"/>
          <w:lang w:val="en-US" w:eastAsia="zh-CN" w:bidi="ar-SA"/>
        </w:rPr>
        <w:t>加强和改进学风建设倡议书</w:t>
      </w:r>
      <w:r>
        <w:rPr>
          <w:sz w:val="24"/>
          <w:szCs w:val="24"/>
        </w:rPr>
        <w:tab/>
      </w:r>
      <w:r>
        <w:rPr>
          <w:sz w:val="24"/>
          <w:szCs w:val="24"/>
        </w:rPr>
        <w:fldChar w:fldCharType="begin"/>
      </w:r>
      <w:r>
        <w:rPr>
          <w:sz w:val="24"/>
          <w:szCs w:val="24"/>
        </w:rPr>
        <w:instrText xml:space="preserve"> PAGEREF _Toc20715 \h </w:instrText>
      </w:r>
      <w:r>
        <w:rPr>
          <w:sz w:val="24"/>
          <w:szCs w:val="24"/>
        </w:rPr>
        <w:fldChar w:fldCharType="separate"/>
      </w:r>
      <w:r>
        <w:rPr>
          <w:sz w:val="24"/>
          <w:szCs w:val="24"/>
        </w:rPr>
        <w:t>37</w:t>
      </w:r>
      <w:r>
        <w:rPr>
          <w:sz w:val="24"/>
          <w:szCs w:val="24"/>
        </w:rPr>
        <w:fldChar w:fldCharType="end"/>
      </w:r>
      <w:r>
        <w:rPr>
          <w:rFonts w:hint="eastAsia" w:ascii="宋体" w:hAnsi="宋体" w:eastAsia="宋体" w:cs="宋体"/>
          <w:bCs/>
          <w:color w:val="auto"/>
          <w:sz w:val="24"/>
          <w:szCs w:val="24"/>
        </w:rPr>
        <w:fldChar w:fldCharType="end"/>
      </w:r>
    </w:p>
    <w:p>
      <w:pPr>
        <w:pStyle w:val="12"/>
        <w:tabs>
          <w:tab w:val="left" w:pos="5166"/>
        </w:tabs>
        <w:spacing w:line="528" w:lineRule="auto"/>
        <w:jc w:val="center"/>
        <w:rPr>
          <w:color w:val="auto"/>
        </w:rPr>
        <w:sectPr>
          <w:headerReference r:id="rId8" w:type="default"/>
          <w:footerReference r:id="rId9" w:type="default"/>
          <w:footerReference r:id="rId10" w:type="even"/>
          <w:pgSz w:w="11907" w:h="16840"/>
          <w:pgMar w:top="1871" w:right="1797" w:bottom="1984" w:left="1797" w:header="851" w:footer="992" w:gutter="0"/>
          <w:pgNumType w:fmt="decimal" w:start="1"/>
          <w:cols w:space="720" w:num="1"/>
          <w:docGrid w:type="lines" w:linePitch="312" w:charSpace="0"/>
        </w:sectPr>
      </w:pPr>
      <w:r>
        <w:rPr>
          <w:rFonts w:hint="eastAsia" w:ascii="宋体" w:hAnsi="宋体" w:eastAsia="宋体" w:cs="宋体"/>
          <w:bCs/>
          <w:color w:val="auto"/>
          <w:sz w:val="24"/>
          <w:szCs w:val="24"/>
        </w:rPr>
        <w:fldChar w:fldCharType="end"/>
      </w:r>
    </w:p>
    <w:p>
      <w:pPr>
        <w:pStyle w:val="12"/>
        <w:tabs>
          <w:tab w:val="left" w:pos="5166"/>
        </w:tabs>
        <w:spacing w:line="240" w:lineRule="auto"/>
        <w:jc w:val="center"/>
        <w:outlineLvl w:val="0"/>
        <w:rPr>
          <w:rFonts w:hint="eastAsia" w:ascii="Cambria" w:hAnsi="Cambria" w:eastAsia="宋体" w:cs="Times New Roman"/>
          <w:b/>
          <w:bCs/>
          <w:color w:val="auto"/>
          <w:kern w:val="2"/>
          <w:sz w:val="32"/>
          <w:szCs w:val="32"/>
          <w:lang w:val="en-US" w:eastAsia="zh-CN" w:bidi="ar-SA"/>
        </w:rPr>
      </w:pPr>
      <w:bookmarkStart w:id="16" w:name="_Toc16664"/>
      <w:bookmarkStart w:id="17" w:name="_Toc28360"/>
      <w:bookmarkStart w:id="18" w:name="_Toc13568"/>
      <w:bookmarkStart w:id="19" w:name="_Toc22050"/>
      <w:bookmarkStart w:id="20" w:name="_Toc407709047"/>
      <w:r>
        <w:rPr>
          <w:rFonts w:hint="eastAsia" w:ascii="Cambria" w:hAnsi="Cambria" w:eastAsia="宋体" w:cs="Times New Roman"/>
          <w:b/>
          <w:bCs/>
          <w:color w:val="auto"/>
          <w:kern w:val="2"/>
          <w:sz w:val="32"/>
          <w:szCs w:val="32"/>
          <w:lang w:val="en-US" w:eastAsia="zh-CN" w:bidi="ar-SA"/>
        </w:rPr>
        <w:t>普通高等学校学生管理规定</w:t>
      </w:r>
      <w:bookmarkEnd w:id="16"/>
      <w:bookmarkEnd w:id="17"/>
      <w:bookmarkEnd w:id="18"/>
      <w:bookmarkEnd w:id="19"/>
    </w:p>
    <w:p>
      <w:pPr>
        <w:rPr>
          <w:rFonts w:hint="default" w:ascii="Calibri" w:hAnsi="Calibri" w:eastAsia="宋体" w:cs="Times New Roman"/>
          <w:b w:val="0"/>
          <w:bCs w:val="0"/>
          <w:color w:val="2A2A2A"/>
          <w:kern w:val="2"/>
          <w:sz w:val="21"/>
          <w:szCs w:val="20"/>
          <w:lang w:val="en-US" w:eastAsia="zh-CN" w:bidi="ar-SA"/>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sz w:val="28"/>
          <w:szCs w:val="28"/>
        </w:rPr>
      </w:pPr>
      <w:r>
        <w:rPr>
          <w:rStyle w:val="17"/>
          <w:rFonts w:hint="eastAsia" w:ascii="宋体" w:hAnsi="宋体" w:eastAsia="宋体" w:cs="宋体"/>
          <w:color w:val="auto"/>
          <w:sz w:val="28"/>
          <w:szCs w:val="28"/>
          <w:shd w:val="clear" w:color="auto" w:fill="FFFFFF"/>
        </w:rPr>
        <w:t>第一章 总 则</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cs="宋体"/>
          <w:color w:val="auto"/>
          <w:sz w:val="28"/>
          <w:szCs w:val="28"/>
          <w:shd w:val="clear" w:color="auto" w:fill="FFFFFF"/>
          <w:lang w:val="en-US" w:eastAsia="zh-CN"/>
        </w:rPr>
        <w:t xml:space="preserve">   </w:t>
      </w:r>
      <w:r>
        <w:rPr>
          <w:rFonts w:hint="eastAsia" w:ascii="宋体" w:hAnsi="Courier New" w:eastAsia="宋体" w:cs="Times New Roman"/>
          <w:color w:val="auto"/>
          <w:kern w:val="2"/>
          <w:sz w:val="21"/>
          <w:szCs w:val="21"/>
          <w:lang w:val="en-US" w:eastAsia="zh-CN" w:bidi="ar-SA"/>
        </w:rPr>
        <w:t>第一条 为规范普通高等学校学生管理行为，维护普通高等学校正常的教育教学秩序和生活秩序，保障学生合法权益，培养德、智、体、美等方面全面发展的社会主义建设者和接班人</w:t>
      </w:r>
      <w:r>
        <w:rPr>
          <w:rFonts w:hint="eastAsia" w:hAnsi="Courier New" w:cs="Times New Roman"/>
          <w:color w:val="auto"/>
          <w:kern w:val="2"/>
          <w:sz w:val="21"/>
          <w:szCs w:val="21"/>
          <w:lang w:val="en-US" w:eastAsia="zh-CN" w:bidi="ar-SA"/>
        </w:rPr>
        <w:t>，</w:t>
      </w:r>
      <w:r>
        <w:rPr>
          <w:rFonts w:hint="eastAsia" w:ascii="宋体" w:hAnsi="Courier New" w:eastAsia="宋体" w:cs="Times New Roman"/>
          <w:color w:val="auto"/>
          <w:kern w:val="2"/>
          <w:sz w:val="21"/>
          <w:szCs w:val="21"/>
          <w:lang w:val="en-US" w:eastAsia="zh-CN" w:bidi="ar-SA"/>
        </w:rPr>
        <w:t>依据教育法、高等教育法以及有关法律、法规，制定本规定。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第二条 本规定适用于普通高等学校、承担研究生教育任务的科学研究机构（以下称学校）对接受普通高等学历教育的研究生和本科、专科（高职）学生（以下称学生）的管理。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第三条 学校要坚持社会主义办学方向，坚持马克思主义的指导地位</w:t>
      </w:r>
      <w:r>
        <w:rPr>
          <w:rFonts w:hint="eastAsia" w:hAnsi="Courier New" w:cs="Times New Roman"/>
          <w:color w:val="auto"/>
          <w:kern w:val="2"/>
          <w:sz w:val="21"/>
          <w:szCs w:val="21"/>
          <w:lang w:val="en-US" w:eastAsia="zh-CN" w:bidi="ar-SA"/>
        </w:rPr>
        <w:t>，</w:t>
      </w:r>
      <w:r>
        <w:rPr>
          <w:rFonts w:hint="eastAsia" w:ascii="宋体" w:hAnsi="Courier New" w:eastAsia="宋体" w:cs="Times New Roman"/>
          <w:color w:val="auto"/>
          <w:kern w:val="2"/>
          <w:sz w:val="21"/>
          <w:szCs w:val="21"/>
          <w:lang w:val="en-US" w:eastAsia="zh-CN" w:bidi="ar-SA"/>
        </w:rPr>
        <w:t>全面贯彻国家教育方针；要坚持以立德树人为根本，以理想信念教育为核心</w:t>
      </w:r>
      <w:r>
        <w:rPr>
          <w:rFonts w:hint="eastAsia" w:hAnsi="Courier New" w:cs="Times New Roman"/>
          <w:color w:val="auto"/>
          <w:kern w:val="2"/>
          <w:sz w:val="21"/>
          <w:szCs w:val="21"/>
          <w:lang w:val="en-US" w:eastAsia="zh-CN" w:bidi="ar-SA"/>
        </w:rPr>
        <w:t>，</w:t>
      </w:r>
      <w:r>
        <w:rPr>
          <w:rFonts w:hint="eastAsia" w:ascii="宋体" w:hAnsi="Courier New" w:eastAsia="宋体" w:cs="Times New Roman"/>
          <w:color w:val="auto"/>
          <w:kern w:val="2"/>
          <w:sz w:val="21"/>
          <w:szCs w:val="21"/>
          <w:lang w:val="en-US" w:eastAsia="zh-CN" w:bidi="ar-SA"/>
        </w:rPr>
        <w:t>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8"/>
          <w:szCs w:val="28"/>
        </w:rPr>
      </w:pPr>
      <w:r>
        <w:rPr>
          <w:rFonts w:hint="eastAsia" w:ascii="宋体" w:hAnsi="Courier New" w:eastAsia="宋体" w:cs="Times New Roman"/>
          <w:color w:val="auto"/>
          <w:kern w:val="2"/>
          <w:sz w:val="21"/>
          <w:szCs w:val="21"/>
          <w:lang w:val="en-US" w:eastAsia="zh-CN" w:bidi="ar-SA"/>
        </w:rPr>
        <w:t>　　第五条 实施学生管理，应当尊重和保护学生的合法权利，教育和引导学生承担应尽的义务与责任，鼓励和支持学生实行自我管理、自我服务、自我教育、自我监督。</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sz w:val="28"/>
          <w:szCs w:val="28"/>
        </w:rPr>
      </w:pPr>
      <w:r>
        <w:rPr>
          <w:rStyle w:val="17"/>
          <w:rFonts w:hint="eastAsia" w:ascii="宋体" w:hAnsi="宋体" w:eastAsia="宋体" w:cs="宋体"/>
          <w:color w:val="auto"/>
          <w:sz w:val="28"/>
          <w:szCs w:val="28"/>
          <w:shd w:val="clear" w:color="auto" w:fill="FFFFFF"/>
        </w:rPr>
        <w:t>　　第二章 学生的权利与义务</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宋体" w:eastAsia="宋体" w:cs="宋体"/>
          <w:color w:val="auto"/>
          <w:sz w:val="28"/>
          <w:szCs w:val="28"/>
          <w:shd w:val="clear" w:color="auto" w:fill="FFFFFF"/>
        </w:rPr>
        <w:t>　　</w:t>
      </w:r>
      <w:r>
        <w:rPr>
          <w:rFonts w:hint="eastAsia" w:ascii="宋体" w:hAnsi="Courier New" w:eastAsia="宋体" w:cs="Times New Roman"/>
          <w:color w:val="auto"/>
          <w:kern w:val="2"/>
          <w:sz w:val="21"/>
          <w:szCs w:val="21"/>
          <w:lang w:val="en-US" w:eastAsia="zh-CN" w:bidi="ar-SA"/>
        </w:rPr>
        <w:t>第六条 学生在校期间依法享有下列权利：</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（一）参加学校教育教学计划安排的各项活动，使用学校提供的教育教学资源；</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（二）参加社会实践、志愿服务、勤工助学、文娱体育及科技文化创新等活动，获得就业创业指导和服务；</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（三）申请奖学金、助学金及助学贷款；</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（四）在思想品德、学业成绩等方面获得科学、公正评价，完成学校规定学业后获得相应的学历证书、学位证书；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（五）在校内组织、参加学生团体，以适当方式参与学校管理，对学校与学生权益相关事务享有知情权、参与权、表达权和监督权；</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（六）对学校给予的处理或者处分有异议，向学校、教育行政部门提出申诉，对学校、教职员工侵犯其人身权、财产权等合法权益的行为，提出申诉或者依法提起诉讼；</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（七）法律、法规及学校章程规定的其他权利。</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第七条 学生在校期间依法履行下列义务：</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（一）遵守宪法和法律、法规；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（二）遵守学校章程和规章制度；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（三）恪守学术道德，完成规定学业；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（四）按规定缴纳学费及有关费用，履行获得贷学金及助学金的相应义务；</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（五）遵守学生行为规范，尊敬师长，养成良好的思想品德和行为习惯；</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8"/>
          <w:szCs w:val="28"/>
        </w:rPr>
      </w:pPr>
      <w:r>
        <w:rPr>
          <w:rFonts w:hint="eastAsia" w:ascii="宋体" w:hAnsi="Courier New" w:eastAsia="宋体" w:cs="Times New Roman"/>
          <w:color w:val="auto"/>
          <w:kern w:val="2"/>
          <w:sz w:val="21"/>
          <w:szCs w:val="21"/>
          <w:lang w:val="en-US" w:eastAsia="zh-CN" w:bidi="ar-SA"/>
        </w:rPr>
        <w:t>　　（六）法律、法规及学校章程规定的其他义务。</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shd w:val="clear" w:color="auto" w:fill="FFFFFF"/>
        </w:rPr>
        <w:t>　　</w:t>
      </w:r>
      <w:r>
        <w:rPr>
          <w:rStyle w:val="17"/>
          <w:rFonts w:hint="eastAsia" w:ascii="宋体" w:hAnsi="宋体" w:eastAsia="宋体" w:cs="宋体"/>
          <w:color w:val="auto"/>
          <w:sz w:val="28"/>
          <w:szCs w:val="28"/>
          <w:shd w:val="clear" w:color="auto" w:fill="FFFFFF"/>
        </w:rPr>
        <w:t xml:space="preserve">第三章 学籍管理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sz w:val="28"/>
          <w:szCs w:val="28"/>
        </w:rPr>
      </w:pPr>
      <w:r>
        <w:rPr>
          <w:rStyle w:val="17"/>
          <w:rFonts w:hint="eastAsia" w:ascii="宋体" w:hAnsi="宋体" w:eastAsia="宋体" w:cs="宋体"/>
          <w:color w:val="auto"/>
          <w:sz w:val="28"/>
          <w:szCs w:val="28"/>
          <w:shd w:val="clear" w:color="auto" w:fill="FFFFFF"/>
        </w:rPr>
        <w:t>　　</w:t>
      </w:r>
      <w:r>
        <w:rPr>
          <w:rStyle w:val="17"/>
          <w:rFonts w:hint="eastAsia" w:ascii="宋体" w:hAnsi="宋体" w:eastAsia="宋体" w:cs="宋体"/>
          <w:color w:val="auto"/>
          <w:sz w:val="24"/>
          <w:szCs w:val="24"/>
          <w:shd w:val="clear" w:color="auto" w:fill="FFFFFF"/>
        </w:rPr>
        <w:t>第一节 入学与注册</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cs="宋体"/>
          <w:color w:val="auto"/>
          <w:sz w:val="28"/>
          <w:szCs w:val="28"/>
          <w:shd w:val="clear" w:color="auto" w:fill="FFFFFF"/>
          <w:lang w:val="en-US" w:eastAsia="zh-CN"/>
        </w:rPr>
        <w:t xml:space="preserve">   </w:t>
      </w:r>
      <w:r>
        <w:rPr>
          <w:rFonts w:hint="eastAsia" w:ascii="宋体" w:hAnsi="Courier New" w:eastAsia="宋体" w:cs="Times New Roman"/>
          <w:color w:val="auto"/>
          <w:kern w:val="2"/>
          <w:sz w:val="21"/>
          <w:szCs w:val="21"/>
          <w:lang w:val="en-US" w:eastAsia="zh-CN" w:bidi="ar-SA"/>
        </w:rPr>
        <w:t>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第十条 新生可以申请保留入学资格。保留入学资格期间不具有学籍。保留入学资格的条件、期限等由学校规定。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新生保留入学资格期满前应向学校申请入学，经学校审查合格后，办理入学手续。审查不合格的，取消入学资格；逾期不办理入学手续且未有因不可抗力延迟等正当理由的，视为放弃入学资格。</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第十一条 学生入学后，学校应当在3个月内按照国家招生规定进行复查。复查内容主要包括以下方面：</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（一）录取手续及程序等是否合乎国家招生规定；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（二）所获得的录取资格是否真实、合乎相关规定；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（三）本人及身份证明与录取通知、考生档案等是否一致；</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（四）身心健康状况是否符合报考专业或者专业类别体检要求，能否保证在校正常学习、生活；</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（五）艺术、体育等特殊类型录取学生的专业水平是否符合录取要求。</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复查中发现学生存在弄虚作假、徇私舞弊等情形的，确定为复查不合格，应当取消学籍；情节严重的，学校应当移交有关部门调查处理。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复查中发现学生身心状况不适宜在校学习，经学校指定的二级甲等以上医院诊断，需要在家休养的，可以按照第十条的规定保留入学资格。</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复查的程序和办法，由学校规定。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第十二条 每学期开学时，学生应当按学校规定办理注册手续。不能如期注册的，应当履行暂缓注册手续。未按学校规定缴纳学费或者有其他不符合注册条件的，不予注册。</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家庭经济困难的学生可以申请助学贷款或者其他形式资助，办理有关手续后注册。</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8"/>
          <w:szCs w:val="28"/>
        </w:rPr>
      </w:pPr>
      <w:r>
        <w:rPr>
          <w:rFonts w:hint="eastAsia" w:ascii="宋体" w:hAnsi="Courier New" w:eastAsia="宋体" w:cs="Times New Roman"/>
          <w:color w:val="auto"/>
          <w:kern w:val="2"/>
          <w:sz w:val="21"/>
          <w:szCs w:val="21"/>
          <w:lang w:val="en-US" w:eastAsia="zh-CN" w:bidi="ar-SA"/>
        </w:rPr>
        <w:t>　　学校应当按照国家有关规定为家庭经济困难学生提供教育救助，完善学生资助体系，保证学生不因家庭经济困难而放弃学业。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8"/>
          <w:szCs w:val="28"/>
          <w:shd w:val="clear" w:color="auto" w:fill="FFFFFF"/>
        </w:rPr>
        <w:t>　</w:t>
      </w:r>
      <w:r>
        <w:rPr>
          <w:rStyle w:val="17"/>
          <w:rFonts w:hint="eastAsia" w:ascii="宋体" w:hAnsi="宋体" w:eastAsia="宋体" w:cs="宋体"/>
          <w:color w:val="auto"/>
          <w:sz w:val="28"/>
          <w:szCs w:val="28"/>
          <w:shd w:val="clear" w:color="auto" w:fill="FFFFFF"/>
        </w:rPr>
        <w:t>　</w:t>
      </w:r>
      <w:r>
        <w:rPr>
          <w:rStyle w:val="17"/>
          <w:rFonts w:hint="eastAsia" w:ascii="宋体" w:hAnsi="宋体" w:eastAsia="宋体" w:cs="宋体"/>
          <w:color w:val="auto"/>
          <w:sz w:val="24"/>
          <w:szCs w:val="24"/>
          <w:shd w:val="clear" w:color="auto" w:fill="FFFFFF"/>
        </w:rPr>
        <w:t>第二节 考核与成绩记载</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第十三条 学生应当参加学校教育教学计划规定的课程和各种教育教学环节（以下统称课程）的考核，考核成绩记入成绩册，并归入学籍档案。</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考核分为考试和考查两种。考核和成绩评定方式，以及考核不合格的课程是否重修或者补考，由学校规定。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hAnsi="Courier New" w:cs="Times New Roman"/>
          <w:color w:val="auto"/>
          <w:kern w:val="2"/>
          <w:sz w:val="21"/>
          <w:szCs w:val="21"/>
          <w:lang w:val="en-US" w:eastAsia="zh-CN" w:bidi="ar-SA"/>
        </w:rPr>
        <w:t xml:space="preserve">    </w:t>
      </w:r>
      <w:r>
        <w:rPr>
          <w:rFonts w:hint="eastAsia" w:ascii="宋体" w:hAnsi="Courier New" w:eastAsia="宋体" w:cs="Times New Roman"/>
          <w:color w:val="auto"/>
          <w:kern w:val="2"/>
          <w:sz w:val="21"/>
          <w:szCs w:val="21"/>
          <w:lang w:val="en-US" w:eastAsia="zh-CN" w:bidi="ar-SA"/>
        </w:rPr>
        <w:t>第十四条 学生思想品德的考核、鉴定，以本规定第四条为主要依据，采取个人小结、师生民主评议等形式进行。</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学生体育成绩评定要突出过程管理，可以根据考勤、课内教学、课外锻炼活动和体质健康等情况综合评定。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第十五条 学生每学期或者每学年所修课程或者应修学分数以及升级、跳级、留级、降级等要求，由学校规定。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第十七条 学生参加创新创业、社会实践等活动以及发表论文、获得专利授权等与专业学习、学业要求相关的经历、成果，可以折算为学分，计入学业成绩。具体办法由学校规定。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学校应当鼓励、支持和指导学生参加社会实践、创新创业活动，可以建立创新创业档案、设置创新创业学分。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第十八条 学校应当健全学生学业成绩和学籍档案管理制度，真实、完整地记载、出具学生学业成绩，对通过补考、重修获得的成绩，应当予以标注。</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生因退学等情况中止学业，其在校学习期间所修课程及已获得学分，应当予以记录。学生重新参加入学考试、符合录取条件，再次入学的，其已获得学分，经录取学校认定，可以予以承认。具体办法由学校规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第十九条 学生应当按时参加教育教学计划规定的活动。不能按时参加的，应当事先请假并获得批准。无故缺席的，根据学校有关规定给予批评教育，情节严重的，给予相应的纪律处分。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8"/>
          <w:szCs w:val="28"/>
        </w:rPr>
      </w:pPr>
      <w:r>
        <w:rPr>
          <w:rFonts w:hint="eastAsia" w:ascii="宋体" w:hAnsi="Courier New" w:eastAsia="宋体" w:cs="Times New Roman"/>
          <w:color w:val="auto"/>
          <w:kern w:val="2"/>
          <w:sz w:val="21"/>
          <w:szCs w:val="21"/>
          <w:lang w:val="en-US" w:eastAsia="zh-CN" w:bidi="ar-SA"/>
        </w:rPr>
        <w:t>　　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shd w:val="clear" w:color="auto" w:fill="FFFFFF"/>
        </w:rPr>
        <w:t>　</w:t>
      </w:r>
      <w:r>
        <w:rPr>
          <w:rStyle w:val="17"/>
          <w:rFonts w:hint="eastAsia" w:ascii="宋体" w:hAnsi="宋体" w:eastAsia="宋体" w:cs="宋体"/>
          <w:color w:val="auto"/>
          <w:sz w:val="28"/>
          <w:szCs w:val="28"/>
          <w:shd w:val="clear" w:color="auto" w:fill="FFFFFF"/>
        </w:rPr>
        <w:t>　</w:t>
      </w:r>
      <w:r>
        <w:rPr>
          <w:rStyle w:val="17"/>
          <w:rFonts w:hint="eastAsia" w:ascii="宋体" w:hAnsi="宋体" w:eastAsia="宋体" w:cs="宋体"/>
          <w:color w:val="auto"/>
          <w:sz w:val="24"/>
          <w:szCs w:val="24"/>
          <w:shd w:val="clear" w:color="auto" w:fill="FFFFFF"/>
        </w:rPr>
        <w:t>第三节 转专业与转学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第二十一条 学生在学习期间对其他专业有兴趣和专长的，可以申请转专业；以特殊招生形式录取的学生，国家有相关规定或者录取前与学校有明确约定的，不得转专业。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学校应当制定学生转专业的具体办法，建立公平、公正的标准和程序，健全公示制度。学校根据社会对人才需求情况的发展变化，需要适当调整专业的，应当允许在读学生转到其他相关专业就读。</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休学创业或退役后复学的学生，因自身情况需要转专业的，学校应当优先考虑。</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第二十二条 学生一般应当在被录取学校完成学业。因患病或者有特殊困难、特别需要，无法继续在本校学习或者不适应本校学习要求的，可以申请转学。有下列情形之一，不得转学：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（一）入学未满一学期或者毕业前一年的；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（二）高考成绩低于拟转入学校相关专业同一生源地相应年份录取成绩的；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（三）由低学历层次转为高学历层次的；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（四）以定向就业招生录取的；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（五）研究生拟转入学校、专业的录取控制标准高于其所在学校、专业的；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（六）无正当转学理由的。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学生因学校培养条件改变等非本人原因需要转学的，学校应当出具证明，由所在地省级教育行政部门协调转学到同层次学校。</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第二十三条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跨省转学的，由转出地省级教育行政部门商转入地省级教育行政部门，按转学条件确认后办理转学手续。须转户口的由转入地省级教育行政部门将有关文件抄送转入学校所在地的公安机关。</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第二十四条 学校应当按照国家有关规定，建立健全学生转学的具体办法；对转学情况应当及时进行公示，并在转学完成后3个月内，由转入学校报所在地省级教育行政部门备案。</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8"/>
          <w:szCs w:val="28"/>
        </w:rPr>
      </w:pPr>
      <w:r>
        <w:rPr>
          <w:rFonts w:hint="eastAsia" w:ascii="宋体" w:hAnsi="Courier New" w:eastAsia="宋体" w:cs="Times New Roman"/>
          <w:color w:val="auto"/>
          <w:kern w:val="2"/>
          <w:sz w:val="21"/>
          <w:szCs w:val="21"/>
          <w:lang w:val="en-US" w:eastAsia="zh-CN" w:bidi="ar-SA"/>
        </w:rPr>
        <w:t>　　省级教育行政部门应当加强对区域内学校转学行为的监督和管理，及时纠正违规转学行为。</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sz w:val="28"/>
          <w:szCs w:val="28"/>
        </w:rPr>
      </w:pPr>
      <w:r>
        <w:rPr>
          <w:rStyle w:val="17"/>
          <w:rFonts w:hint="eastAsia" w:ascii="宋体" w:hAnsi="宋体" w:eastAsia="宋体" w:cs="宋体"/>
          <w:color w:val="auto"/>
          <w:sz w:val="28"/>
          <w:szCs w:val="28"/>
          <w:shd w:val="clear" w:color="auto" w:fill="FFFFFF"/>
        </w:rPr>
        <w:t>　　</w:t>
      </w:r>
      <w:r>
        <w:rPr>
          <w:rStyle w:val="17"/>
          <w:rFonts w:hint="eastAsia" w:ascii="宋体" w:hAnsi="宋体" w:eastAsia="宋体" w:cs="宋体"/>
          <w:color w:val="auto"/>
          <w:sz w:val="24"/>
          <w:szCs w:val="24"/>
          <w:shd w:val="clear" w:color="auto" w:fill="FFFFFF"/>
        </w:rPr>
        <w:t>第四节 休学与复学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第二十五条 学生可以分阶段完成学业，除另有规定外，应当在学校规定的最长学习年限（含休学和保留学籍）内完成学业。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学生申请休学或者学校认为应当休学的，经学校批准，可以休学。休学次数和期限由学校规定。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第二十六条 学校可以根据情况建立并实行灵活的学习制度。对休学创业的学生，可以单独规定最长学习年限，并简化休学批准程序。</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第二十七条 新生和在校学生应征参加中国人民解放军（含中国人民武装警察部队），学校应当保留其入学资格或者学籍至退役后2年。</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学生参加学校组织的跨校联合培养项目，在联合培养学校学习期间，学校同时为其保留学籍。</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学生保留学籍期间，与其实际所在的部队、学校等组织建立管理关系。</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第二十八条 休学学生应当办理手续离校。学生休学期间，学校应为其保留学籍，但不享受在校学习学生待遇。因病休学学生的医疗费按国家及当地的有关规定处理。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8"/>
          <w:szCs w:val="28"/>
        </w:rPr>
      </w:pPr>
      <w:r>
        <w:rPr>
          <w:rFonts w:hint="eastAsia" w:ascii="宋体" w:hAnsi="Courier New" w:eastAsia="宋体" w:cs="Times New Roman"/>
          <w:color w:val="auto"/>
          <w:kern w:val="2"/>
          <w:sz w:val="21"/>
          <w:szCs w:val="21"/>
          <w:lang w:val="en-US" w:eastAsia="zh-CN" w:bidi="ar-SA"/>
        </w:rPr>
        <w:t>　　第二十九条 学生休学期满前应当在学校规定的期限内提出复学申请，经学校复查合格，方可复学。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shd w:val="clear" w:color="auto" w:fill="FFFFFF"/>
        </w:rPr>
        <w:t>　　</w:t>
      </w:r>
      <w:r>
        <w:rPr>
          <w:rStyle w:val="17"/>
          <w:rFonts w:hint="eastAsia" w:ascii="宋体" w:hAnsi="宋体" w:eastAsia="宋体" w:cs="宋体"/>
          <w:color w:val="auto"/>
          <w:sz w:val="24"/>
          <w:szCs w:val="24"/>
          <w:shd w:val="clear" w:color="auto" w:fill="FFFFFF"/>
        </w:rPr>
        <w:t>第五节 退学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第三十条 学生有下列情形之一，学校可予退学处理：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（一）学业成绩未达到学校要求或者在学校规定的学习年限内未完成学业的；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（二）休学、保留学籍期满，在学校规定期限内未提出复学申请或者申请复学经复查不合格的；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（三）根据学校指定医院诊断，患有疾病或者意外伤残不能继续在校学习的；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（四）未经批准连续两周未参加学校规定的教学活动的；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（五）超过学校规定期限未注册而又未履行暂缓注册手续的；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（六）学校规定的不能完成学业、应予退学的其他情形。</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学生本人申请退学的，经学校审核同意后，办理退学手续。</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退学学生的档案由学校退回其家庭所在地，户口应当按照国家相关规定迁回原户籍地或者家庭户籍所在地。</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shd w:val="clear" w:color="auto" w:fill="FFFFFF"/>
        </w:rPr>
        <w:t>　</w:t>
      </w:r>
      <w:r>
        <w:rPr>
          <w:rStyle w:val="17"/>
          <w:rFonts w:hint="eastAsia" w:ascii="宋体" w:hAnsi="宋体" w:eastAsia="宋体" w:cs="宋体"/>
          <w:color w:val="auto"/>
          <w:sz w:val="28"/>
          <w:szCs w:val="28"/>
          <w:shd w:val="clear" w:color="auto" w:fill="FFFFFF"/>
        </w:rPr>
        <w:t>　</w:t>
      </w:r>
      <w:r>
        <w:rPr>
          <w:rStyle w:val="17"/>
          <w:rFonts w:hint="eastAsia" w:ascii="宋体" w:hAnsi="宋体" w:eastAsia="宋体" w:cs="宋体"/>
          <w:color w:val="auto"/>
          <w:sz w:val="24"/>
          <w:szCs w:val="24"/>
          <w:shd w:val="clear" w:color="auto" w:fill="FFFFFF"/>
        </w:rPr>
        <w:t>第六节 毕业与结业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第三十二条 学生在学校规定学习年限内，修完教育教学计划规定内容，成绩合格，达到学校毕业要求的，学校应当准予毕业，并在学生离校前发给毕业证书。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符合学位授予条件的，学位授予单位应当颁发学位证书。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学生提前完成教育教学计划规定内容，获得毕业所要求的学分，可以申请提前毕业。学生提前毕业的条件，由学校规定。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第三十三条 学生在学校规定学习年限内，修完教育教学计划规定内容，但未达到学校毕业要求的，学校可以准予结业，发给结业证书。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结业后是否可以补考、重修或者补作毕业设计、论文、答辩，以及是否颁发毕业证书、学位证书，由学校规定。合格后颁发的毕业证书、学位证书，毕业时间、获得学位时间按发证日期填写。</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8"/>
          <w:szCs w:val="28"/>
        </w:rPr>
      </w:pPr>
      <w:r>
        <w:rPr>
          <w:rFonts w:hint="eastAsia" w:ascii="宋体" w:hAnsi="Courier New" w:eastAsia="宋体" w:cs="Times New Roman"/>
          <w:color w:val="auto"/>
          <w:kern w:val="2"/>
          <w:sz w:val="21"/>
          <w:szCs w:val="21"/>
          <w:lang w:val="en-US" w:eastAsia="zh-CN" w:bidi="ar-SA"/>
        </w:rPr>
        <w:t>　　对退学学生</w:t>
      </w:r>
      <w:r>
        <w:rPr>
          <w:rFonts w:hint="eastAsia" w:hAnsi="Courier New" w:cs="Times New Roman"/>
          <w:color w:val="auto"/>
          <w:kern w:val="2"/>
          <w:sz w:val="21"/>
          <w:szCs w:val="21"/>
          <w:lang w:val="en-US" w:eastAsia="zh-CN" w:bidi="ar-SA"/>
        </w:rPr>
        <w:t>，</w:t>
      </w:r>
      <w:r>
        <w:rPr>
          <w:rFonts w:hint="eastAsia" w:ascii="宋体" w:hAnsi="Courier New" w:eastAsia="宋体" w:cs="Times New Roman"/>
          <w:color w:val="auto"/>
          <w:kern w:val="2"/>
          <w:sz w:val="21"/>
          <w:szCs w:val="21"/>
          <w:lang w:val="en-US" w:eastAsia="zh-CN" w:bidi="ar-SA"/>
        </w:rPr>
        <w:t>学校应当发给肄业证书或者写实性学习证明。</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8"/>
          <w:szCs w:val="28"/>
          <w:shd w:val="clear" w:color="auto" w:fill="FFFFFF"/>
        </w:rPr>
        <w:t>　</w:t>
      </w:r>
      <w:r>
        <w:rPr>
          <w:rStyle w:val="17"/>
          <w:rFonts w:hint="eastAsia" w:ascii="宋体" w:hAnsi="宋体" w:eastAsia="宋体" w:cs="宋体"/>
          <w:color w:val="auto"/>
          <w:sz w:val="28"/>
          <w:szCs w:val="28"/>
          <w:shd w:val="clear" w:color="auto" w:fill="FFFFFF"/>
        </w:rPr>
        <w:t>　</w:t>
      </w:r>
      <w:r>
        <w:rPr>
          <w:rStyle w:val="17"/>
          <w:rFonts w:hint="eastAsia" w:ascii="宋体" w:hAnsi="宋体" w:eastAsia="宋体" w:cs="宋体"/>
          <w:color w:val="auto"/>
          <w:sz w:val="24"/>
          <w:szCs w:val="24"/>
          <w:shd w:val="clear" w:color="auto" w:fill="FFFFFF"/>
        </w:rPr>
        <w:t>第七节 学业证书管理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第三十四条 学校应当严格按照招生时确定的办学类型和学习形式，以及学生招生录取时填报的个人信息，填写、颁发学历证书、学位证书及其他学业证书。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第三十五条 学校应当执行高等教育学籍学历电子注册管理制度，完善学籍学历信息管理办法，按相关规定及时完成学生学籍学历电子注册。</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第三十六条 对完成本专业学业同时辅修其他专业并达到该专业辅修要求的学生，由学校发给辅修专业证书。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被撤销的学历证书、学位证书已注册的，学校应当予以注销并报教育行政部门宣布无效。</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第三十八条 学历证书和学位证书遗失或者损坏，经本人申请，学校核实后应当出具相应的证明书。证明书与原证书具有同等效力。</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shd w:val="clear" w:color="auto" w:fill="FFFFFF"/>
        </w:rPr>
        <w:t>　</w:t>
      </w:r>
      <w:r>
        <w:rPr>
          <w:rStyle w:val="17"/>
          <w:rFonts w:hint="eastAsia" w:ascii="宋体" w:hAnsi="宋体" w:eastAsia="宋体" w:cs="宋体"/>
          <w:color w:val="auto"/>
          <w:sz w:val="28"/>
          <w:szCs w:val="28"/>
          <w:shd w:val="clear" w:color="auto" w:fill="FFFFFF"/>
        </w:rPr>
        <w:t>　第四章 校园秩序与课外活动</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第三十九条 学校、学生应当共同维护校园正常秩序，保障学校环境安全、稳定，保障学生的正常学习和生活。</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第四十条 学校应当建立和完善学生参与管理的组织形式，支持和保障学生依法、依章程参与学校管理。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第四十一条 学生应当自觉遵守公民道德规范，自觉遵守学校管理制度，创造和维护文明、整洁、优美、安全的学习和生活环境，树立安全风险防范和自我保护意识，保障自身合法权益。</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第四十二条 学生不得有酗酒、打架斗殴、赌博、吸毒，传播、复制、贩卖非法书刊和音像制品等违法行为；不得参与非法传销和进行邪教、封建迷信活动；不得从事或者参与有损大学生形象、有悖社会公序良俗的活动。</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学校发现学生在校内有违法行为或者严重精神疾病可能对他人造成伤害的，可以依法采取或者协助有关部门采取必要措施。</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第四十三条 学校应当坚持教育与宗教相分离原则。任何组织和个人不得在学校进行宗教活动。</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第四十四条 学校应当建立健全学生代表大会制度，为学生会、研究生会等开展活动提供必要条件，支持其在学生管理中发挥作用。</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学生可以在校内成立、参加学生团体。学生成立团体，应当按学校有关规定提出书面申请，报学校批准并施行登记和年检制度。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学生团体应当在宪法、法律、法规和学校管理制度范围内活动，接受学校的领导和管理。学生团体邀请校外组织、人员到校举办讲座等活动，需经学校批准。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第四十五条 学校提倡并支持学生及学生团体开展有益于身心健康、成长成才的学术、科技、艺术、文娱、体育等活动。</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学生进行课外活动不得影响学校正常的教育教学秩序和生活秩序。</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学生参加勤工助学活动应当遵守法律、法规以及学校、用工单位的管理制度，履行勤工助学活动的有关协议。</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第四十六条 学生举行大型集会、游行、示威等活动，应当按法律程序和有关规定获得批准。对未获批准的，学校应当依法劝阻或者制止。</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第四十七条 学生应当遵守国家和学校关于网络使用的有关规定，不得登录非法网站和传播非法文字、音频、视频资料等，不得编造或者传播虚假、有害信息；不得攻击、侵入他人计算机和移动通讯网络系统。</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8"/>
          <w:szCs w:val="28"/>
        </w:rPr>
      </w:pPr>
      <w:r>
        <w:rPr>
          <w:rFonts w:hint="eastAsia" w:ascii="宋体" w:hAnsi="Courier New" w:eastAsia="宋体" w:cs="Times New Roman"/>
          <w:color w:val="auto"/>
          <w:kern w:val="2"/>
          <w:sz w:val="21"/>
          <w:szCs w:val="21"/>
          <w:lang w:val="en-US" w:eastAsia="zh-CN" w:bidi="ar-SA"/>
        </w:rPr>
        <w:t>　　第四十八条 学校应当建立健全学生住宿管理制度。学生应当遵守学校关于学生住宿管理的规定。鼓励和支持学生通过制定公约，实施自我管理。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shd w:val="clear" w:color="auto" w:fill="FFFFFF"/>
        </w:rPr>
        <w:t>　</w:t>
      </w:r>
      <w:r>
        <w:rPr>
          <w:rStyle w:val="17"/>
          <w:rFonts w:hint="eastAsia" w:ascii="宋体" w:hAnsi="宋体" w:eastAsia="宋体" w:cs="宋体"/>
          <w:color w:val="auto"/>
          <w:sz w:val="28"/>
          <w:szCs w:val="28"/>
          <w:shd w:val="clear" w:color="auto" w:fill="FFFFFF"/>
        </w:rPr>
        <w:t>　第五章 奖励与处分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第四十九条 学校、省（区、市）和国家有关部门应当对在德、智、体、美等方面全面发展或者在思想品德、学业成绩、科技创造、体育竞赛、文艺活动、志愿服务及社会实践等方面表现突出的学生，给予表彰和奖励。</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第五十条 对学生的表彰和奖励可以采取授予“三好学生”称号或者其他荣誉称号、颁发奖学金等多种形式，给予相应的精神鼓励或者物质奖励。</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学校对学生予以表彰和奖励，以及确定推荐免试研究生、国家奖学金、公派出国留学人选等赋予学生利益的行为，应当建立公开、公平、公正的程序和规定，建立和完善相应的选拔、公示等制度。</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第五十一条 对有违反法律法规、本规定以及学校纪律行为的学生，学校应当给予批评教育，并可视情节轻重，给予如下纪律处分：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（一）警告；</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（二）严重警告；</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（三）记过；</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（四）留校察看；</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（五）开除学籍。</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第五十二条 学生有下列情形之一，学校可以给予开除学籍处分：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（一）违反宪法，反对四项基本原则、破坏安定团结、扰乱社会秩序的；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（二）触犯国家法律，构成刑事犯罪的；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（三）受到治安管理处罚，情节严重、性质恶劣的；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（四）代替他人或者让他人代替自己参加考试、组织作弊、使用通讯设备或其他器材作弊、向他人出售考试试题或答案牟取利益，以及其他严重作弊或扰乱考试秩序行为的；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（五）学位论文、公开发表的研究成果存在抄袭、篡改、伪造等学术不端行为，情节严重的，或者代写论文、买卖论文的；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（六）违反本规定和学校规定，严重影响学校教育教学秩序、生活秩序以及公共场所管理秩序的；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（七）侵害其他个人、组织合法权益，造成严重后果的；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（八）屡次违反学校规定受到纪律处分，经教育不改的。</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第五十三条 学校对学生作出处分，应当出具处分决定书。处分决定书应当包括下列内容：</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（一）学生的基本信息；</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（二）作出处分的事实和证据；</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（三）处分的种类、依据、期限；</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（四）申诉的途径和期限；</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（五）其他必要内容。</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第五十四条 学校给予学生处分，应当坚持教育与惩戒相结合，与学生违法、违纪行为的性质和过错的严重程度相适应。学校对学生的处分，应当做到证据充分、依据明确、定性准确、程序正当、处分适当。</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第五十五条 在对学生作出处分或者其他不利决定之前，学校应当告知学生作出决定的事实、理由及依据，并告知学生享有陈述和申辩的权利，听取学生的陈述和申辩。</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处理、处分决定以及处分告知书等，应当直接送达学生本人，学生拒绝签收的，可以以留置方式送达；已离校的，可以采取邮寄方式送达；难于联系的，可以利用学校网站、新闻媒体等以公告方式送达。</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第五十六条 对学生作出取消入学资格、取消学籍、退学、开除学籍或者其他涉及学生重大利益的处理或者处分决定的，应当提交校长办公会或者校长授权的专门会议研究决定，并应当事先进行合法性审查。</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第五十七条 除开除学籍处分以外，给予学生处分一般应当设置6到12个月期限，到期按学校规定程序予以解除。解除处分后，学生获得表彰、奖励及其他权益，不再受原处分的影响。</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第五十八条 对学生的奖励、处理、处分及解除处分材料，学校应当真实完整地归入学校文书档案和本人档案。</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被开除学籍的学生，由学校发给学习证明。学生按学校规定期限离校，档案由学校退回其家庭所在地，户口应当按照国家相关规定迁回原户籍地或者家庭户籍所在地。</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sz w:val="28"/>
          <w:szCs w:val="28"/>
        </w:rPr>
      </w:pPr>
      <w:r>
        <w:rPr>
          <w:rFonts w:hint="eastAsia" w:ascii="宋体" w:hAnsi="宋体" w:eastAsia="宋体" w:cs="宋体"/>
          <w:color w:val="auto"/>
          <w:sz w:val="28"/>
          <w:szCs w:val="28"/>
          <w:shd w:val="clear" w:color="auto" w:fill="FFFFFF"/>
        </w:rPr>
        <w:t>　　</w:t>
      </w:r>
      <w:r>
        <w:rPr>
          <w:rStyle w:val="17"/>
          <w:rFonts w:hint="eastAsia" w:ascii="宋体" w:hAnsi="宋体" w:eastAsia="宋体" w:cs="宋体"/>
          <w:color w:val="auto"/>
          <w:sz w:val="28"/>
          <w:szCs w:val="28"/>
          <w:shd w:val="clear" w:color="auto" w:fill="FFFFFF"/>
        </w:rPr>
        <w:t>第六章 学生申诉</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第五十九条 学校应当成立学生申诉处理委员会，负责受理学生对处理或者处分决定不服提起的申诉。</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学生申诉处理委员会应当由学校相关负责人、职能部门负责人、教师代表、学生代表、负责法律事务的相关机构负责人等组成，可以聘请校外法律、教育等方面专家参加。</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学校应当制定学生申诉的具体办法</w:t>
      </w:r>
      <w:r>
        <w:rPr>
          <w:rFonts w:hint="eastAsia" w:hAnsi="Courier New" w:cs="Times New Roman"/>
          <w:color w:val="auto"/>
          <w:kern w:val="2"/>
          <w:sz w:val="21"/>
          <w:szCs w:val="21"/>
          <w:lang w:val="en-US" w:eastAsia="zh-CN" w:bidi="ar-SA"/>
        </w:rPr>
        <w:t>，</w:t>
      </w:r>
      <w:r>
        <w:rPr>
          <w:rFonts w:hint="eastAsia" w:ascii="宋体" w:hAnsi="Courier New" w:eastAsia="宋体" w:cs="Times New Roman"/>
          <w:color w:val="auto"/>
          <w:kern w:val="2"/>
          <w:sz w:val="21"/>
          <w:szCs w:val="21"/>
          <w:lang w:val="en-US" w:eastAsia="zh-CN" w:bidi="ar-SA"/>
        </w:rPr>
        <w:t>健全学生申诉处理委员会的组成与工作规则，提供必要条件，保证其能够客观、公正地履行职责。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第六十条 学生对学校的处理或者处分决定有异议的，可以在接到学校处理或者处分决定书之日起10日内，向学校学生申诉处理委员会提出书面申诉。</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第六十一条 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学生申诉处理委员会经复查，认为做出处理或者处分的事实、依据、程序等存在不当，可以作出建议撤销或变更的复查意见，要求相关职能部门予以研究，重新提交校长办公会或者专门会议作出决定。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第六十二条 学生对复查决定有异议的，在接到学校复查决定书之日起15日内，可以向学校所在地省级教育行政部门提出书面申诉。</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省级教育行政部门应当在接到学生书面申诉之日起30个工作日内，对申诉人的问题给予处理并作出决定。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第六十三条 省级教育行政部门在处理因对学校处理或者处分决定不服提起的学生申诉时，应当听取学生和学校的意见，并可根据需要进行必要的调查。根据审查结论，区别不同情况，分别作出下列处理：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w:t>
      </w:r>
      <w:r>
        <w:rPr>
          <w:rFonts w:hint="eastAsia" w:hAnsi="Courier New" w:cs="Times New Roman"/>
          <w:color w:val="auto"/>
          <w:kern w:val="2"/>
          <w:sz w:val="21"/>
          <w:szCs w:val="21"/>
          <w:lang w:val="en-US" w:eastAsia="zh-CN" w:bidi="ar-SA"/>
        </w:rPr>
        <w:t>（</w:t>
      </w:r>
      <w:r>
        <w:rPr>
          <w:rFonts w:hint="eastAsia" w:ascii="宋体" w:hAnsi="Courier New" w:eastAsia="宋体" w:cs="Times New Roman"/>
          <w:color w:val="auto"/>
          <w:kern w:val="2"/>
          <w:sz w:val="21"/>
          <w:szCs w:val="21"/>
          <w:lang w:val="en-US" w:eastAsia="zh-CN" w:bidi="ar-SA"/>
        </w:rPr>
        <w:t>一</w:t>
      </w:r>
      <w:r>
        <w:rPr>
          <w:rFonts w:hint="eastAsia" w:hAnsi="Courier New" w:cs="Times New Roman"/>
          <w:color w:val="auto"/>
          <w:kern w:val="2"/>
          <w:sz w:val="21"/>
          <w:szCs w:val="21"/>
          <w:lang w:val="en-US" w:eastAsia="zh-CN" w:bidi="ar-SA"/>
        </w:rPr>
        <w:t>）</w:t>
      </w:r>
      <w:r>
        <w:rPr>
          <w:rFonts w:hint="eastAsia" w:ascii="宋体" w:hAnsi="Courier New" w:eastAsia="宋体" w:cs="Times New Roman"/>
          <w:color w:val="auto"/>
          <w:kern w:val="2"/>
          <w:sz w:val="21"/>
          <w:szCs w:val="21"/>
          <w:lang w:val="en-US" w:eastAsia="zh-CN" w:bidi="ar-SA"/>
        </w:rPr>
        <w:t xml:space="preserve"> 事实清楚、依据明确、定性准确、程序正当、处分适当的，予以维持；</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w:t>
      </w:r>
      <w:r>
        <w:rPr>
          <w:rFonts w:hint="eastAsia" w:hAnsi="Courier New" w:cs="Times New Roman"/>
          <w:color w:val="auto"/>
          <w:kern w:val="2"/>
          <w:sz w:val="21"/>
          <w:szCs w:val="21"/>
          <w:lang w:val="en-US" w:eastAsia="zh-CN" w:bidi="ar-SA"/>
        </w:rPr>
        <w:t>（</w:t>
      </w:r>
      <w:r>
        <w:rPr>
          <w:rFonts w:hint="eastAsia" w:ascii="宋体" w:hAnsi="Courier New" w:eastAsia="宋体" w:cs="Times New Roman"/>
          <w:color w:val="auto"/>
          <w:kern w:val="2"/>
          <w:sz w:val="21"/>
          <w:szCs w:val="21"/>
          <w:lang w:val="en-US" w:eastAsia="zh-CN" w:bidi="ar-SA"/>
        </w:rPr>
        <w:t>二</w:t>
      </w:r>
      <w:r>
        <w:rPr>
          <w:rFonts w:hint="eastAsia" w:hAnsi="Courier New" w:cs="Times New Roman"/>
          <w:color w:val="auto"/>
          <w:kern w:val="2"/>
          <w:sz w:val="21"/>
          <w:szCs w:val="21"/>
          <w:lang w:val="en-US" w:eastAsia="zh-CN" w:bidi="ar-SA"/>
        </w:rPr>
        <w:t>）</w:t>
      </w:r>
      <w:r>
        <w:rPr>
          <w:rFonts w:hint="eastAsia" w:ascii="宋体" w:hAnsi="Courier New" w:eastAsia="宋体" w:cs="Times New Roman"/>
          <w:color w:val="auto"/>
          <w:kern w:val="2"/>
          <w:sz w:val="21"/>
          <w:szCs w:val="21"/>
          <w:lang w:val="en-US" w:eastAsia="zh-CN" w:bidi="ar-SA"/>
        </w:rPr>
        <w:t xml:space="preserve"> 认定事实不存在，或者学校超越职权、违反上位法规定作出决定的，责令学校予以撤销；</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w:t>
      </w:r>
      <w:r>
        <w:rPr>
          <w:rFonts w:hint="eastAsia" w:hAnsi="Courier New" w:cs="Times New Roman"/>
          <w:color w:val="auto"/>
          <w:kern w:val="2"/>
          <w:sz w:val="21"/>
          <w:szCs w:val="21"/>
          <w:lang w:val="en-US" w:eastAsia="zh-CN" w:bidi="ar-SA"/>
        </w:rPr>
        <w:t>（</w:t>
      </w:r>
      <w:r>
        <w:rPr>
          <w:rFonts w:hint="eastAsia" w:ascii="宋体" w:hAnsi="Courier New" w:eastAsia="宋体" w:cs="Times New Roman"/>
          <w:color w:val="auto"/>
          <w:kern w:val="2"/>
          <w:sz w:val="21"/>
          <w:szCs w:val="21"/>
          <w:lang w:val="en-US" w:eastAsia="zh-CN" w:bidi="ar-SA"/>
        </w:rPr>
        <w:t>三</w:t>
      </w:r>
      <w:r>
        <w:rPr>
          <w:rFonts w:hint="eastAsia" w:hAnsi="Courier New" w:cs="Times New Roman"/>
          <w:color w:val="auto"/>
          <w:kern w:val="2"/>
          <w:sz w:val="21"/>
          <w:szCs w:val="21"/>
          <w:lang w:val="en-US" w:eastAsia="zh-CN" w:bidi="ar-SA"/>
        </w:rPr>
        <w:t>）</w:t>
      </w:r>
      <w:r>
        <w:rPr>
          <w:rFonts w:hint="eastAsia" w:ascii="宋体" w:hAnsi="Courier New" w:eastAsia="宋体" w:cs="Times New Roman"/>
          <w:color w:val="auto"/>
          <w:kern w:val="2"/>
          <w:sz w:val="21"/>
          <w:szCs w:val="21"/>
          <w:lang w:val="en-US" w:eastAsia="zh-CN" w:bidi="ar-SA"/>
        </w:rPr>
        <w:t xml:space="preserve"> 认定事实清楚，但认定情节有误、定性不准确，或者适用依据有错误的，责令学校变更或者重新作出决定；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w:t>
      </w:r>
      <w:r>
        <w:rPr>
          <w:rFonts w:hint="eastAsia" w:hAnsi="Courier New" w:cs="Times New Roman"/>
          <w:color w:val="auto"/>
          <w:kern w:val="2"/>
          <w:sz w:val="21"/>
          <w:szCs w:val="21"/>
          <w:lang w:val="en-US" w:eastAsia="zh-CN" w:bidi="ar-SA"/>
        </w:rPr>
        <w:t>（</w:t>
      </w:r>
      <w:r>
        <w:rPr>
          <w:rFonts w:hint="eastAsia" w:ascii="宋体" w:hAnsi="Courier New" w:eastAsia="宋体" w:cs="Times New Roman"/>
          <w:color w:val="auto"/>
          <w:kern w:val="2"/>
          <w:sz w:val="21"/>
          <w:szCs w:val="21"/>
          <w:lang w:val="en-US" w:eastAsia="zh-CN" w:bidi="ar-SA"/>
        </w:rPr>
        <w:t>四</w:t>
      </w:r>
      <w:r>
        <w:rPr>
          <w:rFonts w:hint="eastAsia" w:hAnsi="Courier New" w:cs="Times New Roman"/>
          <w:color w:val="auto"/>
          <w:kern w:val="2"/>
          <w:sz w:val="21"/>
          <w:szCs w:val="21"/>
          <w:lang w:val="en-US" w:eastAsia="zh-CN" w:bidi="ar-SA"/>
        </w:rPr>
        <w:t>）</w:t>
      </w:r>
      <w:r>
        <w:rPr>
          <w:rFonts w:hint="eastAsia" w:ascii="宋体" w:hAnsi="Courier New" w:eastAsia="宋体" w:cs="Times New Roman"/>
          <w:color w:val="auto"/>
          <w:kern w:val="2"/>
          <w:sz w:val="21"/>
          <w:szCs w:val="21"/>
          <w:lang w:val="en-US" w:eastAsia="zh-CN" w:bidi="ar-SA"/>
        </w:rPr>
        <w:t xml:space="preserve"> 认定事实不清、证据不足，或者违反本规定以及学校规定的程序和权限的，责令学校重新作出决定。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第六十四条 自处理、处分或者复查决定书送达之日起，学生在申诉期内未提出申诉的视为放弃申诉，学校或者省级教育行政部门不再受理其提出的申诉。</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处理、处分或者复查决定书未告知学生申诉期限的，申诉期限自学生知道或者应当知道处理或者处分决定之日起计算，但最长不得超过6个月。</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第六十五条 学生认为学校及其工作人员违反本规定，侵害其合法权益的；或者学校制定的规章制度与法律法规和本规定抵触的，可以向学校所在地省级教育行政部门投诉。</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 w:val="28"/>
          <w:szCs w:val="28"/>
        </w:rPr>
      </w:pPr>
      <w:r>
        <w:rPr>
          <w:rFonts w:hint="eastAsia" w:ascii="宋体" w:hAnsi="Courier New" w:eastAsia="宋体" w:cs="Times New Roman"/>
          <w:color w:val="auto"/>
          <w:kern w:val="2"/>
          <w:sz w:val="21"/>
          <w:szCs w:val="21"/>
          <w:lang w:val="en-US" w:eastAsia="zh-CN" w:bidi="ar-SA"/>
        </w:rPr>
        <w:t>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sz w:val="28"/>
          <w:szCs w:val="28"/>
        </w:rPr>
      </w:pPr>
      <w:r>
        <w:rPr>
          <w:rStyle w:val="17"/>
          <w:rFonts w:hint="eastAsia" w:ascii="宋体" w:hAnsi="宋体" w:eastAsia="宋体" w:cs="宋体"/>
          <w:color w:val="auto"/>
          <w:sz w:val="28"/>
          <w:szCs w:val="28"/>
          <w:shd w:val="clear" w:color="auto" w:fill="FFFFFF"/>
        </w:rPr>
        <w:t>　　第七章 附 则</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第六十六条 学校对接受高等学历继续教育的学生、港澳台侨学生、留学生的管理，参照本规定执行。</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第六十七条 学校应当根据本规定制定或修改学校的学生管理规定或者纪律处分规定，报主管教育行政部门备案（中央部委属校同时抄报所在地省级教育行政部门），并及时向学生公布。</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Courier New" w:eastAsia="宋体" w:cs="Times New Roman"/>
          <w:color w:val="auto"/>
          <w:kern w:val="2"/>
          <w:sz w:val="21"/>
          <w:szCs w:val="21"/>
          <w:lang w:val="en-US" w:eastAsia="zh-CN" w:bidi="ar-SA"/>
        </w:rPr>
      </w:pPr>
      <w:r>
        <w:rPr>
          <w:rFonts w:hint="eastAsia" w:ascii="宋体" w:hAnsi="Courier New" w:eastAsia="宋体" w:cs="Times New Roman"/>
          <w:color w:val="auto"/>
          <w:kern w:val="2"/>
          <w:sz w:val="21"/>
          <w:szCs w:val="21"/>
          <w:lang w:val="en-US" w:eastAsia="zh-CN" w:bidi="ar-SA"/>
        </w:rPr>
        <w:t>　　省级教育行政部门根据本规定，指导、检查和监督本地区高等学校的学生管理工作。</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color w:val="auto"/>
        </w:rPr>
      </w:pPr>
      <w:r>
        <w:rPr>
          <w:rFonts w:hint="eastAsia" w:ascii="宋体" w:hAnsi="Courier New" w:eastAsia="宋体" w:cs="Times New Roman"/>
          <w:color w:val="auto"/>
          <w:kern w:val="2"/>
          <w:sz w:val="21"/>
          <w:szCs w:val="21"/>
          <w:lang w:val="en-US" w:eastAsia="zh-CN" w:bidi="ar-SA"/>
        </w:rPr>
        <w:t>　　第六十八条 本规定自2017年9月1日起施行。原《普通高等学校学生管理规定》（教育部令第21号）同时废止。其他有关文件规定与本规定不一致的，以本规定为准。</w:t>
      </w:r>
    </w:p>
    <w:p>
      <w:pPr>
        <w:pStyle w:val="12"/>
        <w:tabs>
          <w:tab w:val="left" w:pos="5166"/>
        </w:tabs>
        <w:spacing w:line="240" w:lineRule="auto"/>
        <w:jc w:val="center"/>
        <w:outlineLvl w:val="0"/>
        <w:rPr>
          <w:rFonts w:hint="eastAsia" w:ascii="Cambria" w:hAnsi="Cambria" w:eastAsia="宋体" w:cs="Times New Roman"/>
          <w:b/>
          <w:bCs/>
          <w:color w:val="auto"/>
          <w:kern w:val="2"/>
          <w:sz w:val="32"/>
          <w:szCs w:val="32"/>
          <w:lang w:val="en-US" w:eastAsia="zh-CN" w:bidi="ar-SA"/>
        </w:rPr>
      </w:pPr>
      <w:bookmarkStart w:id="21" w:name="_Toc22759"/>
      <w:bookmarkStart w:id="22" w:name="_Toc12940"/>
      <w:r>
        <w:rPr>
          <w:rFonts w:hint="eastAsia" w:ascii="Cambria" w:hAnsi="Cambria" w:eastAsia="宋体" w:cs="Times New Roman"/>
          <w:b/>
          <w:bCs/>
          <w:color w:val="auto"/>
          <w:kern w:val="2"/>
          <w:sz w:val="32"/>
          <w:szCs w:val="32"/>
          <w:lang w:val="en-US" w:eastAsia="zh-CN" w:bidi="ar-SA"/>
        </w:rPr>
        <w:br w:type="page"/>
      </w:r>
      <w:bookmarkStart w:id="23" w:name="_Toc10538"/>
      <w:bookmarkStart w:id="24" w:name="_Toc20950"/>
      <w:r>
        <w:rPr>
          <w:rFonts w:hint="eastAsia" w:ascii="Cambria" w:hAnsi="Cambria" w:eastAsia="宋体" w:cs="Times New Roman"/>
          <w:b/>
          <w:bCs/>
          <w:color w:val="auto"/>
          <w:kern w:val="2"/>
          <w:sz w:val="32"/>
          <w:szCs w:val="32"/>
          <w:lang w:val="en-US" w:eastAsia="zh-CN" w:bidi="ar-SA"/>
        </w:rPr>
        <w:t>高等学校学生行为准则</w:t>
      </w:r>
      <w:bookmarkEnd w:id="20"/>
      <w:bookmarkEnd w:id="21"/>
      <w:bookmarkEnd w:id="22"/>
      <w:bookmarkEnd w:id="23"/>
      <w:bookmarkEnd w:id="24"/>
    </w:p>
    <w:p>
      <w:pPr>
        <w:rPr>
          <w:rFonts w:hint="default"/>
        </w:rPr>
      </w:pPr>
    </w:p>
    <w:p>
      <w:pPr>
        <w:snapToGrid w:val="0"/>
        <w:rPr>
          <w:rFonts w:hint="eastAsia" w:ascii="黑体" w:hAnsi="宋体" w:eastAsia="黑体"/>
          <w:bCs/>
          <w:color w:val="auto"/>
          <w:szCs w:val="24"/>
        </w:rPr>
      </w:pPr>
      <w:r>
        <w:rPr>
          <w:rFonts w:hint="eastAsia" w:ascii="黑体" w:hAnsi="宋体" w:eastAsia="黑体"/>
          <w:bCs/>
          <w:color w:val="auto"/>
          <w:szCs w:val="24"/>
        </w:rPr>
        <w:t>一、志存高远，坚定信念。</w:t>
      </w:r>
    </w:p>
    <w:p>
      <w:pPr>
        <w:snapToGrid w:val="0"/>
        <w:ind w:firstLine="420" w:firstLineChars="200"/>
        <w:rPr>
          <w:rFonts w:hint="eastAsia" w:ascii="宋体" w:hAnsi="宋体"/>
          <w:bCs/>
          <w:color w:val="auto"/>
          <w:szCs w:val="24"/>
        </w:rPr>
      </w:pPr>
      <w:r>
        <w:rPr>
          <w:rFonts w:hint="eastAsia" w:ascii="宋体" w:hAnsi="宋体"/>
          <w:bCs/>
          <w:color w:val="auto"/>
          <w:szCs w:val="24"/>
        </w:rPr>
        <w:t>努力学习马克思列宁主义、毛泽东思想、邓小平理论和“三个代表”重要思想，面向世界，了解国情，确立在中国共产党领导下走社会主义道路、实现中华民族伟大复兴的共同理想和坚定信念，努力成为有理想、有道德、有文化、有纪律的社会主义新人。</w:t>
      </w:r>
    </w:p>
    <w:p>
      <w:pPr>
        <w:snapToGrid w:val="0"/>
        <w:rPr>
          <w:rFonts w:hint="eastAsia" w:ascii="黑体" w:hAnsi="宋体" w:eastAsia="黑体"/>
          <w:bCs/>
          <w:color w:val="auto"/>
          <w:szCs w:val="24"/>
        </w:rPr>
      </w:pPr>
      <w:r>
        <w:rPr>
          <w:rFonts w:hint="eastAsia" w:ascii="黑体" w:hAnsi="宋体" w:eastAsia="黑体"/>
          <w:bCs/>
          <w:color w:val="auto"/>
          <w:szCs w:val="24"/>
        </w:rPr>
        <w:t>二、热爱祖国，服务人民。</w:t>
      </w:r>
    </w:p>
    <w:p>
      <w:pPr>
        <w:snapToGrid w:val="0"/>
        <w:ind w:firstLine="420" w:firstLineChars="200"/>
        <w:rPr>
          <w:rFonts w:hint="eastAsia" w:ascii="宋体" w:hAnsi="宋体"/>
          <w:bCs/>
          <w:color w:val="auto"/>
          <w:szCs w:val="24"/>
        </w:rPr>
      </w:pPr>
      <w:r>
        <w:rPr>
          <w:rFonts w:hint="eastAsia" w:ascii="宋体" w:hAnsi="宋体"/>
          <w:bCs/>
          <w:color w:val="auto"/>
          <w:szCs w:val="24"/>
        </w:rPr>
        <w:t>弘扬民族精神，维护国家利益和民族团结。不参与违反四项基本原则、影响国家统一和社会稳定的活动。培养同人民群众的深厚感情，正确处理国家、集体和个人三者利益关系，增强社会责任感，甘愿为祖国为人民奉献。</w:t>
      </w:r>
    </w:p>
    <w:p>
      <w:pPr>
        <w:snapToGrid w:val="0"/>
        <w:rPr>
          <w:rFonts w:hint="eastAsia" w:ascii="黑体" w:hAnsi="宋体" w:eastAsia="黑体"/>
          <w:bCs/>
          <w:color w:val="auto"/>
          <w:szCs w:val="24"/>
        </w:rPr>
      </w:pPr>
      <w:r>
        <w:rPr>
          <w:rFonts w:hint="eastAsia" w:ascii="黑体" w:hAnsi="宋体" w:eastAsia="黑体"/>
          <w:bCs/>
          <w:color w:val="auto"/>
          <w:szCs w:val="24"/>
        </w:rPr>
        <w:t>三、勤奋学习，自强不息。</w:t>
      </w:r>
    </w:p>
    <w:p>
      <w:pPr>
        <w:snapToGrid w:val="0"/>
        <w:ind w:firstLine="420" w:firstLineChars="200"/>
        <w:rPr>
          <w:rFonts w:hint="eastAsia" w:ascii="宋体" w:hAnsi="宋体"/>
          <w:bCs/>
          <w:color w:val="auto"/>
          <w:szCs w:val="24"/>
        </w:rPr>
      </w:pPr>
      <w:r>
        <w:rPr>
          <w:rFonts w:hint="eastAsia" w:ascii="宋体" w:hAnsi="宋体"/>
          <w:bCs/>
          <w:color w:val="auto"/>
          <w:szCs w:val="24"/>
        </w:rPr>
        <w:t>追求真理，崇尚科学；刻苦钻研，严谨求实；积极实践，</w:t>
      </w:r>
      <w:r>
        <w:rPr>
          <w:rFonts w:hint="eastAsia" w:ascii="宋体" w:hAnsi="宋体"/>
          <w:bCs/>
          <w:color w:val="auto"/>
          <w:szCs w:val="24"/>
          <w:lang w:eastAsia="zh-CN"/>
        </w:rPr>
        <w:t>勇于创新</w:t>
      </w:r>
      <w:r>
        <w:rPr>
          <w:rFonts w:hint="eastAsia" w:ascii="宋体" w:hAnsi="宋体"/>
          <w:bCs/>
          <w:color w:val="auto"/>
          <w:szCs w:val="24"/>
        </w:rPr>
        <w:t>；珍惜时间，学业有成。</w:t>
      </w:r>
    </w:p>
    <w:p>
      <w:pPr>
        <w:snapToGrid w:val="0"/>
        <w:rPr>
          <w:rFonts w:hint="eastAsia" w:ascii="黑体" w:hAnsi="宋体" w:eastAsia="黑体"/>
          <w:bCs/>
          <w:color w:val="auto"/>
          <w:szCs w:val="24"/>
        </w:rPr>
      </w:pPr>
      <w:r>
        <w:rPr>
          <w:rFonts w:hint="eastAsia" w:ascii="黑体" w:hAnsi="宋体" w:eastAsia="黑体"/>
          <w:bCs/>
          <w:color w:val="auto"/>
          <w:szCs w:val="24"/>
        </w:rPr>
        <w:t>四、遵纪守法，弘扬正气。</w:t>
      </w:r>
    </w:p>
    <w:p>
      <w:pPr>
        <w:snapToGrid w:val="0"/>
        <w:ind w:firstLine="420" w:firstLineChars="200"/>
        <w:rPr>
          <w:rFonts w:hint="eastAsia" w:ascii="宋体" w:hAnsi="宋体"/>
          <w:bCs/>
          <w:color w:val="auto"/>
          <w:szCs w:val="24"/>
        </w:rPr>
      </w:pPr>
      <w:r>
        <w:rPr>
          <w:rFonts w:hint="eastAsia" w:ascii="宋体" w:hAnsi="宋体"/>
          <w:bCs/>
          <w:color w:val="auto"/>
          <w:szCs w:val="24"/>
        </w:rPr>
        <w:t>遵守宪法、法律法规，遵守校纪校规；正确行使权利，依法履行义务；敬廉崇洁，公道正派；敢于并善于同各种违法违纪行为作斗争。</w:t>
      </w:r>
    </w:p>
    <w:p>
      <w:pPr>
        <w:snapToGrid w:val="0"/>
        <w:rPr>
          <w:rFonts w:hint="eastAsia" w:ascii="黑体" w:hAnsi="宋体" w:eastAsia="黑体"/>
          <w:bCs/>
          <w:color w:val="auto"/>
          <w:szCs w:val="24"/>
        </w:rPr>
      </w:pPr>
      <w:r>
        <w:rPr>
          <w:rFonts w:hint="eastAsia" w:ascii="黑体" w:hAnsi="宋体" w:eastAsia="黑体"/>
          <w:bCs/>
          <w:color w:val="auto"/>
          <w:szCs w:val="24"/>
        </w:rPr>
        <w:t>五、诚实守信，严于律己。</w:t>
      </w:r>
    </w:p>
    <w:p>
      <w:pPr>
        <w:snapToGrid w:val="0"/>
        <w:ind w:firstLine="420" w:firstLineChars="200"/>
        <w:rPr>
          <w:rFonts w:hint="eastAsia" w:ascii="宋体" w:hAnsi="宋体"/>
          <w:bCs/>
          <w:color w:val="auto"/>
          <w:szCs w:val="24"/>
        </w:rPr>
      </w:pPr>
      <w:r>
        <w:rPr>
          <w:rFonts w:hint="eastAsia" w:ascii="宋体" w:hAnsi="宋体"/>
          <w:bCs/>
          <w:color w:val="auto"/>
          <w:szCs w:val="24"/>
        </w:rPr>
        <w:t>履约践诺，知行统一；遵从学术规范，恪守学术道德，不作弊，不剽窃；自尊自爱，自省自律；文明使用互联网；自觉抵制黄、赌、毒等不良诱惑。</w:t>
      </w:r>
    </w:p>
    <w:p>
      <w:pPr>
        <w:snapToGrid w:val="0"/>
        <w:rPr>
          <w:rFonts w:hint="eastAsia" w:ascii="黑体" w:hAnsi="宋体" w:eastAsia="黑体"/>
          <w:bCs/>
          <w:color w:val="auto"/>
          <w:szCs w:val="24"/>
        </w:rPr>
      </w:pPr>
      <w:r>
        <w:rPr>
          <w:rFonts w:hint="eastAsia" w:ascii="黑体" w:hAnsi="宋体" w:eastAsia="黑体"/>
          <w:bCs/>
          <w:color w:val="auto"/>
          <w:szCs w:val="24"/>
        </w:rPr>
        <w:t>六、明礼修身，团结友爱。</w:t>
      </w:r>
    </w:p>
    <w:p>
      <w:pPr>
        <w:snapToGrid w:val="0"/>
        <w:ind w:firstLine="420" w:firstLineChars="200"/>
        <w:rPr>
          <w:rFonts w:hint="eastAsia" w:ascii="宋体" w:hAnsi="宋体"/>
          <w:bCs/>
          <w:color w:val="auto"/>
          <w:szCs w:val="24"/>
        </w:rPr>
      </w:pPr>
      <w:r>
        <w:rPr>
          <w:rFonts w:hint="eastAsia" w:ascii="宋体" w:hAnsi="宋体"/>
          <w:bCs/>
          <w:color w:val="auto"/>
          <w:szCs w:val="24"/>
        </w:rPr>
        <w:t>弘扬传统美德，遵守社会公德，男女交往文明；关心集体，爱护公物，热心公益；尊敬师长，友爱同学，团结合作；仪表整洁，待人礼貌；豁达宽容，积极向上。</w:t>
      </w:r>
    </w:p>
    <w:p>
      <w:pPr>
        <w:snapToGrid w:val="0"/>
        <w:rPr>
          <w:rFonts w:hint="eastAsia" w:ascii="黑体" w:hAnsi="宋体" w:eastAsia="黑体"/>
          <w:bCs/>
          <w:color w:val="auto"/>
          <w:szCs w:val="24"/>
        </w:rPr>
      </w:pPr>
      <w:r>
        <w:rPr>
          <w:rFonts w:hint="eastAsia" w:ascii="黑体" w:hAnsi="宋体" w:eastAsia="黑体"/>
          <w:bCs/>
          <w:color w:val="auto"/>
          <w:szCs w:val="24"/>
        </w:rPr>
        <w:t>七、勤俭节约，艰苦奋斗。</w:t>
      </w:r>
    </w:p>
    <w:p>
      <w:pPr>
        <w:snapToGrid w:val="0"/>
        <w:ind w:firstLine="420" w:firstLineChars="200"/>
        <w:rPr>
          <w:rFonts w:hint="eastAsia" w:ascii="宋体" w:hAnsi="宋体"/>
          <w:bCs/>
          <w:color w:val="auto"/>
          <w:szCs w:val="24"/>
        </w:rPr>
      </w:pPr>
      <w:r>
        <w:rPr>
          <w:rFonts w:hint="eastAsia" w:ascii="宋体" w:hAnsi="宋体"/>
          <w:bCs/>
          <w:color w:val="auto"/>
          <w:szCs w:val="24"/>
        </w:rPr>
        <w:t>热爱劳动，珍惜他人和社会劳动成果；生活俭朴，杜绝浪费；不追求超越自身和家庭实际的物质享受。</w:t>
      </w:r>
    </w:p>
    <w:p>
      <w:pPr>
        <w:snapToGrid w:val="0"/>
        <w:rPr>
          <w:rFonts w:hint="eastAsia" w:ascii="黑体" w:hAnsi="宋体" w:eastAsia="黑体"/>
          <w:bCs/>
          <w:color w:val="auto"/>
          <w:szCs w:val="24"/>
        </w:rPr>
      </w:pPr>
      <w:r>
        <w:rPr>
          <w:rFonts w:hint="eastAsia" w:ascii="黑体" w:hAnsi="宋体" w:eastAsia="黑体"/>
          <w:bCs/>
          <w:color w:val="auto"/>
          <w:szCs w:val="24"/>
        </w:rPr>
        <w:t>八、强健体魄，热爱生活。</w:t>
      </w:r>
    </w:p>
    <w:p>
      <w:pPr>
        <w:snapToGrid w:val="0"/>
        <w:rPr>
          <w:rFonts w:hint="eastAsia" w:ascii="宋体" w:hAnsi="宋体"/>
          <w:color w:val="auto"/>
          <w:szCs w:val="21"/>
        </w:rPr>
      </w:pPr>
      <w:r>
        <w:rPr>
          <w:rFonts w:hint="eastAsia" w:ascii="宋体" w:hAnsi="宋体"/>
          <w:bCs/>
          <w:color w:val="auto"/>
          <w:szCs w:val="24"/>
        </w:rPr>
        <w:t xml:space="preserve">    积极参加文体活动，提高自身素质，保持心理健康；磨砺意志，不怕挫折，提高适应能力；增强安全意识，防止意外事故；关爱自然，爱护环境，珍惜资源</w:t>
      </w:r>
      <w:r>
        <w:rPr>
          <w:rFonts w:hint="eastAsia" w:ascii="宋体" w:hAnsi="宋体"/>
          <w:color w:val="auto"/>
          <w:szCs w:val="21"/>
        </w:rPr>
        <w:t>。</w:t>
      </w:r>
    </w:p>
    <w:p>
      <w:pPr>
        <w:snapToGrid w:val="0"/>
        <w:ind w:firstLine="0" w:firstLineChars="0"/>
        <w:rPr>
          <w:rFonts w:hint="eastAsia" w:ascii="宋体" w:hAnsi="宋体" w:eastAsia="宋体" w:cs="Times New Roman"/>
          <w:bCs/>
          <w:color w:val="auto"/>
          <w:szCs w:val="24"/>
        </w:rPr>
      </w:pPr>
    </w:p>
    <w:p>
      <w:pPr>
        <w:snapToGrid w:val="0"/>
        <w:ind w:firstLine="0" w:firstLineChars="0"/>
        <w:rPr>
          <w:rFonts w:hint="eastAsia" w:ascii="宋体" w:hAnsi="宋体" w:eastAsia="宋体" w:cs="Times New Roman"/>
          <w:bCs/>
          <w:color w:val="auto"/>
          <w:szCs w:val="24"/>
        </w:rPr>
      </w:pPr>
    </w:p>
    <w:p>
      <w:pPr>
        <w:snapToGrid w:val="0"/>
        <w:jc w:val="right"/>
        <w:rPr>
          <w:rFonts w:hint="eastAsia"/>
          <w:color w:val="auto"/>
        </w:rPr>
      </w:pPr>
      <w:r>
        <w:rPr>
          <w:rFonts w:hint="eastAsia" w:ascii="宋体" w:hAnsi="宋体" w:eastAsia="宋体" w:cs="Times New Roman"/>
          <w:bCs/>
          <w:color w:val="auto"/>
          <w:szCs w:val="24"/>
        </w:rPr>
        <w:t>（教育部2005年3月颁布）</w:t>
      </w:r>
      <w:bookmarkEnd w:id="13"/>
      <w:bookmarkEnd w:id="14"/>
      <w:bookmarkEnd w:id="15"/>
      <w:bookmarkStart w:id="25" w:name="_Toc27073"/>
      <w:bookmarkStart w:id="26" w:name="_Toc22526"/>
      <w:bookmarkStart w:id="27" w:name="_Toc407709048"/>
    </w:p>
    <w:p>
      <w:pPr>
        <w:pStyle w:val="2"/>
        <w:spacing w:before="0" w:after="0"/>
        <w:jc w:val="center"/>
        <w:outlineLvl w:val="0"/>
        <w:rPr>
          <w:rFonts w:hint="eastAsia" w:ascii="Cambria" w:hAnsi="Cambria"/>
          <w:color w:val="auto"/>
          <w:kern w:val="2"/>
          <w:sz w:val="32"/>
          <w:szCs w:val="32"/>
        </w:rPr>
      </w:pPr>
      <w:bookmarkStart w:id="28" w:name="_Toc5074"/>
      <w:bookmarkStart w:id="29" w:name="_Toc5630"/>
      <w:r>
        <w:rPr>
          <w:rFonts w:hint="eastAsia" w:ascii="Cambria" w:hAnsi="Cambria"/>
          <w:color w:val="auto"/>
          <w:kern w:val="2"/>
          <w:sz w:val="32"/>
          <w:szCs w:val="32"/>
        </w:rPr>
        <w:t>东华大学</w:t>
      </w:r>
      <w:r>
        <w:rPr>
          <w:rFonts w:hint="eastAsia" w:ascii="Cambria" w:hAnsi="Cambria"/>
          <w:color w:val="auto"/>
          <w:kern w:val="2"/>
          <w:sz w:val="32"/>
          <w:szCs w:val="32"/>
          <w:lang w:val="en-US" w:eastAsia="zh-CN"/>
        </w:rPr>
        <w:t>学生</w:t>
      </w:r>
      <w:r>
        <w:rPr>
          <w:rFonts w:hint="eastAsia" w:ascii="Cambria" w:hAnsi="Cambria"/>
          <w:color w:val="auto"/>
          <w:kern w:val="2"/>
          <w:sz w:val="32"/>
          <w:szCs w:val="32"/>
        </w:rPr>
        <w:t>网络行为“十不”</w:t>
      </w:r>
      <w:bookmarkEnd w:id="25"/>
      <w:bookmarkEnd w:id="26"/>
      <w:bookmarkEnd w:id="27"/>
      <w:r>
        <w:rPr>
          <w:rFonts w:hint="eastAsia" w:ascii="Cambria" w:hAnsi="Cambria"/>
          <w:color w:val="auto"/>
          <w:kern w:val="2"/>
          <w:sz w:val="32"/>
          <w:szCs w:val="32"/>
        </w:rPr>
        <w:t>规范</w:t>
      </w:r>
      <w:bookmarkEnd w:id="28"/>
      <w:bookmarkEnd w:id="29"/>
    </w:p>
    <w:p>
      <w:pPr>
        <w:rPr>
          <w:rFonts w:hint="eastAsia"/>
        </w:rPr>
      </w:pPr>
    </w:p>
    <w:p>
      <w:pPr>
        <w:keepNext w:val="0"/>
        <w:keepLines w:val="0"/>
        <w:pageBreakBefore w:val="0"/>
        <w:widowControl w:val="0"/>
        <w:kinsoku/>
        <w:wordWrap/>
        <w:overflowPunct/>
        <w:topLinePunct w:val="0"/>
        <w:autoSpaceDE/>
        <w:autoSpaceDN/>
        <w:bidi w:val="0"/>
        <w:adjustRightInd/>
        <w:snapToGrid w:val="0"/>
        <w:ind w:left="315" w:hanging="315" w:hangingChars="150"/>
        <w:textAlignment w:val="auto"/>
        <w:rPr>
          <w:rFonts w:hint="eastAsia" w:ascii="宋体" w:hAnsi="宋体" w:eastAsia="宋体" w:cs="Times New Roman"/>
          <w:bCs/>
          <w:color w:val="auto"/>
          <w:szCs w:val="24"/>
        </w:rPr>
      </w:pPr>
      <w:r>
        <w:rPr>
          <w:rFonts w:hint="eastAsia" w:ascii="宋体" w:hAnsi="宋体" w:eastAsia="宋体" w:cs="Times New Roman"/>
          <w:bCs/>
          <w:color w:val="auto"/>
          <w:szCs w:val="24"/>
        </w:rPr>
        <w:t>1、不得利用网络从事危害国家安全</w:t>
      </w:r>
      <w:r>
        <w:rPr>
          <w:rFonts w:hint="eastAsia" w:ascii="宋体" w:hAnsi="宋体" w:eastAsia="宋体" w:cs="Times New Roman"/>
          <w:bCs/>
          <w:color w:val="auto"/>
          <w:szCs w:val="24"/>
          <w:lang w:eastAsia="zh-CN"/>
        </w:rPr>
        <w:t>、</w:t>
      </w:r>
      <w:r>
        <w:rPr>
          <w:rFonts w:hint="eastAsia" w:ascii="宋体" w:hAnsi="宋体" w:eastAsia="宋体" w:cs="Times New Roman"/>
          <w:bCs/>
          <w:color w:val="auto"/>
          <w:szCs w:val="24"/>
        </w:rPr>
        <w:t>荣誉和利益，煽动颠覆国家政权，推翻社会主义制度，煽动分裂国家</w:t>
      </w:r>
      <w:r>
        <w:rPr>
          <w:rFonts w:hint="eastAsia" w:ascii="宋体" w:hAnsi="宋体" w:eastAsia="宋体" w:cs="Times New Roman"/>
          <w:bCs/>
          <w:color w:val="auto"/>
          <w:szCs w:val="24"/>
          <w:lang w:eastAsia="zh-CN"/>
        </w:rPr>
        <w:t>、</w:t>
      </w:r>
      <w:r>
        <w:rPr>
          <w:rFonts w:hint="eastAsia" w:ascii="宋体" w:hAnsi="宋体" w:eastAsia="宋体" w:cs="Times New Roman"/>
          <w:bCs/>
          <w:color w:val="auto"/>
          <w:szCs w:val="24"/>
        </w:rPr>
        <w:t>破坏国家统一和民族团结等活动。</w:t>
      </w:r>
    </w:p>
    <w:p>
      <w:pPr>
        <w:keepNext w:val="0"/>
        <w:keepLines w:val="0"/>
        <w:pageBreakBefore w:val="0"/>
        <w:widowControl w:val="0"/>
        <w:kinsoku/>
        <w:wordWrap/>
        <w:overflowPunct/>
        <w:topLinePunct w:val="0"/>
        <w:autoSpaceDE/>
        <w:autoSpaceDN/>
        <w:bidi w:val="0"/>
        <w:adjustRightInd/>
        <w:snapToGrid w:val="0"/>
        <w:ind w:left="315" w:hanging="315" w:hangingChars="150"/>
        <w:textAlignment w:val="auto"/>
        <w:rPr>
          <w:rFonts w:hint="eastAsia" w:ascii="宋体" w:hAnsi="宋体" w:eastAsia="宋体" w:cs="Times New Roman"/>
          <w:bCs/>
          <w:color w:val="auto"/>
          <w:szCs w:val="24"/>
        </w:rPr>
      </w:pPr>
      <w:r>
        <w:rPr>
          <w:rFonts w:hint="eastAsia" w:ascii="宋体" w:hAnsi="宋体" w:eastAsia="宋体" w:cs="Times New Roman"/>
          <w:bCs/>
          <w:color w:val="auto"/>
          <w:szCs w:val="24"/>
        </w:rPr>
        <w:t>2、不得制作、查阅、复制和传播</w:t>
      </w:r>
      <w:r>
        <w:rPr>
          <w:rFonts w:hint="eastAsia" w:ascii="宋体" w:hAnsi="宋体" w:cs="Times New Roman"/>
          <w:bCs/>
          <w:color w:val="auto"/>
          <w:szCs w:val="24"/>
          <w:lang w:eastAsia="zh-CN"/>
        </w:rPr>
        <w:t>破坏</w:t>
      </w:r>
      <w:r>
        <w:rPr>
          <w:rFonts w:hint="eastAsia" w:ascii="宋体" w:hAnsi="宋体" w:eastAsia="宋体" w:cs="Times New Roman"/>
          <w:bCs/>
          <w:color w:val="auto"/>
          <w:szCs w:val="24"/>
        </w:rPr>
        <w:t>宪法和国家法律、行政法规的信息。</w:t>
      </w:r>
    </w:p>
    <w:p>
      <w:pPr>
        <w:keepNext w:val="0"/>
        <w:keepLines w:val="0"/>
        <w:pageBreakBefore w:val="0"/>
        <w:widowControl w:val="0"/>
        <w:kinsoku/>
        <w:wordWrap/>
        <w:overflowPunct/>
        <w:topLinePunct w:val="0"/>
        <w:autoSpaceDE/>
        <w:autoSpaceDN/>
        <w:bidi w:val="0"/>
        <w:adjustRightInd/>
        <w:snapToGrid w:val="0"/>
        <w:ind w:left="315" w:hanging="315" w:hangingChars="150"/>
        <w:textAlignment w:val="auto"/>
        <w:rPr>
          <w:rFonts w:hint="eastAsia" w:ascii="宋体" w:hAnsi="宋体" w:eastAsia="宋体" w:cs="Times New Roman"/>
          <w:bCs/>
          <w:color w:val="auto"/>
          <w:szCs w:val="24"/>
        </w:rPr>
      </w:pPr>
      <w:r>
        <w:rPr>
          <w:rFonts w:hint="eastAsia" w:ascii="宋体" w:hAnsi="宋体" w:eastAsia="宋体" w:cs="Times New Roman"/>
          <w:bCs/>
          <w:color w:val="auto"/>
          <w:szCs w:val="24"/>
        </w:rPr>
        <w:t>3、不利用网络发布及实施诈骗</w:t>
      </w:r>
      <w:r>
        <w:rPr>
          <w:rFonts w:hint="eastAsia" w:ascii="宋体" w:hAnsi="宋体" w:cs="Times New Roman"/>
          <w:bCs/>
          <w:color w:val="auto"/>
          <w:szCs w:val="24"/>
          <w:lang w:eastAsia="zh-CN"/>
        </w:rPr>
        <w:t>，</w:t>
      </w:r>
      <w:r>
        <w:rPr>
          <w:rFonts w:hint="eastAsia" w:ascii="宋体" w:hAnsi="宋体" w:eastAsia="宋体" w:cs="Times New Roman"/>
          <w:bCs/>
          <w:color w:val="auto"/>
          <w:szCs w:val="24"/>
        </w:rPr>
        <w:t>制作或销售违禁物品、管制物品以及其他违法犯罪活动的信息。</w:t>
      </w:r>
    </w:p>
    <w:p>
      <w:pPr>
        <w:keepNext w:val="0"/>
        <w:keepLines w:val="0"/>
        <w:pageBreakBefore w:val="0"/>
        <w:widowControl w:val="0"/>
        <w:kinsoku/>
        <w:wordWrap/>
        <w:overflowPunct/>
        <w:topLinePunct w:val="0"/>
        <w:autoSpaceDE/>
        <w:autoSpaceDN/>
        <w:bidi w:val="0"/>
        <w:adjustRightInd/>
        <w:snapToGrid w:val="0"/>
        <w:ind w:left="315" w:hanging="315" w:hangingChars="150"/>
        <w:textAlignment w:val="auto"/>
        <w:rPr>
          <w:rFonts w:hint="eastAsia" w:ascii="宋体" w:hAnsi="宋体" w:eastAsia="宋体" w:cs="Times New Roman"/>
          <w:bCs/>
          <w:color w:val="auto"/>
          <w:szCs w:val="24"/>
        </w:rPr>
      </w:pPr>
      <w:r>
        <w:rPr>
          <w:rFonts w:hint="eastAsia" w:ascii="宋体" w:hAnsi="宋体" w:eastAsia="宋体" w:cs="Times New Roman"/>
          <w:bCs/>
          <w:color w:val="auto"/>
          <w:szCs w:val="24"/>
        </w:rPr>
        <w:t>4、不浏览不良网站</w:t>
      </w:r>
      <w:r>
        <w:rPr>
          <w:rFonts w:hint="eastAsia" w:ascii="宋体" w:hAnsi="宋体" w:cs="Times New Roman"/>
          <w:bCs/>
          <w:color w:val="auto"/>
          <w:szCs w:val="24"/>
          <w:lang w:eastAsia="zh-CN"/>
        </w:rPr>
        <w:t>，</w:t>
      </w:r>
      <w:r>
        <w:rPr>
          <w:rFonts w:hint="eastAsia" w:ascii="宋体" w:hAnsi="宋体" w:eastAsia="宋体" w:cs="Times New Roman"/>
          <w:bCs/>
          <w:color w:val="auto"/>
          <w:szCs w:val="24"/>
        </w:rPr>
        <w:t>制作、下载及传播封建迷信、极端主义、邪教、淫秽色情、暴力恐怖、赌博、教唆犯罪等信息。</w:t>
      </w:r>
    </w:p>
    <w:p>
      <w:pPr>
        <w:keepNext w:val="0"/>
        <w:keepLines w:val="0"/>
        <w:pageBreakBefore w:val="0"/>
        <w:widowControl w:val="0"/>
        <w:kinsoku/>
        <w:wordWrap/>
        <w:overflowPunct/>
        <w:topLinePunct w:val="0"/>
        <w:autoSpaceDE/>
        <w:autoSpaceDN/>
        <w:bidi w:val="0"/>
        <w:adjustRightInd/>
        <w:snapToGrid w:val="0"/>
        <w:ind w:left="315" w:hanging="315" w:hangingChars="150"/>
        <w:textAlignment w:val="auto"/>
        <w:rPr>
          <w:rFonts w:hint="eastAsia" w:ascii="宋体" w:hAnsi="宋体" w:eastAsia="宋体" w:cs="Times New Roman"/>
          <w:bCs/>
          <w:color w:val="auto"/>
          <w:szCs w:val="24"/>
        </w:rPr>
      </w:pPr>
      <w:r>
        <w:rPr>
          <w:rFonts w:hint="eastAsia" w:ascii="宋体" w:hAnsi="宋体" w:eastAsia="宋体" w:cs="Times New Roman"/>
          <w:bCs/>
          <w:color w:val="auto"/>
          <w:szCs w:val="24"/>
        </w:rPr>
        <w:t>5、不编造、传播虚假信息</w:t>
      </w:r>
      <w:r>
        <w:rPr>
          <w:rFonts w:hint="eastAsia" w:ascii="宋体" w:hAnsi="宋体" w:cs="Times New Roman"/>
          <w:bCs/>
          <w:color w:val="auto"/>
          <w:szCs w:val="24"/>
          <w:lang w:eastAsia="zh-CN"/>
        </w:rPr>
        <w:t>，</w:t>
      </w:r>
      <w:r>
        <w:rPr>
          <w:rFonts w:hint="eastAsia" w:ascii="宋体" w:hAnsi="宋体" w:eastAsia="宋体" w:cs="Times New Roman"/>
          <w:bCs/>
          <w:color w:val="auto"/>
          <w:szCs w:val="24"/>
        </w:rPr>
        <w:t>扰乱校园秩序和社会秩序。</w:t>
      </w:r>
    </w:p>
    <w:p>
      <w:pPr>
        <w:keepNext w:val="0"/>
        <w:keepLines w:val="0"/>
        <w:pageBreakBefore w:val="0"/>
        <w:widowControl w:val="0"/>
        <w:kinsoku/>
        <w:wordWrap/>
        <w:overflowPunct/>
        <w:topLinePunct w:val="0"/>
        <w:autoSpaceDE/>
        <w:autoSpaceDN/>
        <w:bidi w:val="0"/>
        <w:adjustRightInd/>
        <w:snapToGrid w:val="0"/>
        <w:ind w:left="315" w:hanging="315" w:hangingChars="150"/>
        <w:textAlignment w:val="auto"/>
        <w:rPr>
          <w:rFonts w:hint="eastAsia" w:ascii="宋体" w:hAnsi="宋体" w:eastAsia="宋体" w:cs="Times New Roman"/>
          <w:bCs/>
          <w:color w:val="auto"/>
          <w:szCs w:val="24"/>
        </w:rPr>
      </w:pPr>
      <w:r>
        <w:rPr>
          <w:rFonts w:hint="eastAsia" w:ascii="宋体" w:hAnsi="宋体" w:eastAsia="宋体" w:cs="Times New Roman"/>
          <w:bCs/>
          <w:color w:val="auto"/>
          <w:szCs w:val="24"/>
        </w:rPr>
        <w:t>6、不在网络上进行侮辱他人、诽谤他人、暴露他人隐私等损害他人合法权益及名誉</w:t>
      </w:r>
      <w:r>
        <w:rPr>
          <w:rFonts w:hint="eastAsia" w:ascii="宋体" w:hAnsi="宋体" w:cs="Times New Roman"/>
          <w:bCs/>
          <w:color w:val="auto"/>
          <w:szCs w:val="24"/>
          <w:lang w:eastAsia="zh-CN"/>
        </w:rPr>
        <w:t>，</w:t>
      </w:r>
      <w:r>
        <w:rPr>
          <w:rFonts w:hint="eastAsia" w:ascii="宋体" w:hAnsi="宋体" w:eastAsia="宋体" w:cs="Times New Roman"/>
          <w:bCs/>
          <w:color w:val="auto"/>
          <w:szCs w:val="24"/>
        </w:rPr>
        <w:t>助长网络暴力的行为。</w:t>
      </w:r>
    </w:p>
    <w:p>
      <w:pPr>
        <w:keepNext w:val="0"/>
        <w:keepLines w:val="0"/>
        <w:pageBreakBefore w:val="0"/>
        <w:widowControl w:val="0"/>
        <w:kinsoku/>
        <w:wordWrap/>
        <w:overflowPunct/>
        <w:topLinePunct w:val="0"/>
        <w:autoSpaceDE/>
        <w:autoSpaceDN/>
        <w:bidi w:val="0"/>
        <w:adjustRightInd/>
        <w:snapToGrid w:val="0"/>
        <w:ind w:left="315" w:hanging="315" w:hangingChars="150"/>
        <w:textAlignment w:val="auto"/>
        <w:rPr>
          <w:rFonts w:hint="eastAsia" w:ascii="宋体" w:hAnsi="宋体" w:eastAsia="宋体" w:cs="Times New Roman"/>
          <w:bCs/>
          <w:color w:val="auto"/>
          <w:szCs w:val="24"/>
        </w:rPr>
      </w:pPr>
      <w:r>
        <w:rPr>
          <w:rFonts w:hint="eastAsia" w:ascii="宋体" w:hAnsi="宋体" w:eastAsia="宋体" w:cs="Times New Roman"/>
          <w:bCs/>
          <w:color w:val="auto"/>
          <w:szCs w:val="24"/>
        </w:rPr>
        <w:t>7、不在网络上进行侵犯知识产权的行为。</w:t>
      </w:r>
    </w:p>
    <w:p>
      <w:pPr>
        <w:keepNext w:val="0"/>
        <w:keepLines w:val="0"/>
        <w:pageBreakBefore w:val="0"/>
        <w:widowControl w:val="0"/>
        <w:kinsoku/>
        <w:wordWrap/>
        <w:overflowPunct/>
        <w:topLinePunct w:val="0"/>
        <w:autoSpaceDE/>
        <w:autoSpaceDN/>
        <w:bidi w:val="0"/>
        <w:adjustRightInd/>
        <w:snapToGrid w:val="0"/>
        <w:ind w:left="315" w:hanging="315" w:hangingChars="150"/>
        <w:textAlignment w:val="auto"/>
        <w:rPr>
          <w:rFonts w:hint="eastAsia" w:ascii="宋体" w:hAnsi="宋体" w:eastAsia="宋体" w:cs="Times New Roman"/>
          <w:bCs/>
          <w:color w:val="auto"/>
          <w:szCs w:val="24"/>
        </w:rPr>
      </w:pPr>
      <w:r>
        <w:rPr>
          <w:rFonts w:hint="eastAsia" w:ascii="宋体" w:hAnsi="宋体" w:eastAsia="宋体" w:cs="Times New Roman"/>
          <w:bCs/>
          <w:color w:val="auto"/>
          <w:szCs w:val="24"/>
        </w:rPr>
        <w:t>8、不非法</w:t>
      </w:r>
      <w:r>
        <w:rPr>
          <w:rFonts w:hint="eastAsia" w:ascii="宋体" w:hAnsi="宋体" w:cs="Times New Roman"/>
          <w:bCs/>
          <w:color w:val="auto"/>
          <w:szCs w:val="24"/>
          <w:lang w:eastAsia="zh-CN"/>
        </w:rPr>
        <w:t>入侵</w:t>
      </w:r>
      <w:r>
        <w:rPr>
          <w:rFonts w:hint="eastAsia" w:ascii="宋体" w:hAnsi="宋体" w:eastAsia="宋体" w:cs="Times New Roman"/>
          <w:bCs/>
          <w:color w:val="auto"/>
          <w:szCs w:val="24"/>
        </w:rPr>
        <w:t>、攻击、更改或破坏他人信息系统。</w:t>
      </w:r>
    </w:p>
    <w:p>
      <w:pPr>
        <w:keepNext w:val="0"/>
        <w:keepLines w:val="0"/>
        <w:pageBreakBefore w:val="0"/>
        <w:widowControl w:val="0"/>
        <w:kinsoku/>
        <w:wordWrap/>
        <w:overflowPunct/>
        <w:topLinePunct w:val="0"/>
        <w:autoSpaceDE/>
        <w:autoSpaceDN/>
        <w:bidi w:val="0"/>
        <w:adjustRightInd/>
        <w:snapToGrid w:val="0"/>
        <w:ind w:left="315" w:hanging="315" w:hangingChars="150"/>
        <w:textAlignment w:val="auto"/>
        <w:rPr>
          <w:rFonts w:hint="eastAsia" w:ascii="宋体" w:hAnsi="宋体" w:eastAsia="宋体" w:cs="Times New Roman"/>
          <w:bCs/>
          <w:color w:val="auto"/>
          <w:szCs w:val="24"/>
        </w:rPr>
      </w:pPr>
      <w:r>
        <w:rPr>
          <w:rFonts w:hint="eastAsia" w:ascii="宋体" w:hAnsi="宋体" w:eastAsia="宋体" w:cs="Times New Roman"/>
          <w:bCs/>
          <w:color w:val="auto"/>
          <w:szCs w:val="24"/>
        </w:rPr>
        <w:t>9、不制作、传播计算机病毒等破坏性程序。</w:t>
      </w:r>
    </w:p>
    <w:p>
      <w:pPr>
        <w:keepNext w:val="0"/>
        <w:keepLines w:val="0"/>
        <w:pageBreakBefore w:val="0"/>
        <w:widowControl w:val="0"/>
        <w:kinsoku/>
        <w:wordWrap/>
        <w:overflowPunct/>
        <w:topLinePunct w:val="0"/>
        <w:autoSpaceDE/>
        <w:autoSpaceDN/>
        <w:bidi w:val="0"/>
        <w:adjustRightInd/>
        <w:snapToGrid w:val="0"/>
        <w:ind w:left="315" w:hanging="315" w:hangingChars="150"/>
        <w:textAlignment w:val="auto"/>
        <w:rPr>
          <w:rFonts w:hint="eastAsia" w:ascii="宋体" w:hAnsi="宋体" w:eastAsia="宋体" w:cs="Times New Roman"/>
          <w:bCs/>
          <w:color w:val="auto"/>
          <w:szCs w:val="24"/>
        </w:rPr>
      </w:pPr>
      <w:r>
        <w:rPr>
          <w:rFonts w:hint="eastAsia" w:ascii="宋体" w:hAnsi="宋体" w:eastAsia="宋体" w:cs="Times New Roman"/>
          <w:bCs/>
          <w:color w:val="auto"/>
          <w:szCs w:val="24"/>
        </w:rPr>
        <w:t>10、不沉溺于网络聊天和游戏。</w:t>
      </w:r>
    </w:p>
    <w:p>
      <w:pPr>
        <w:spacing w:before="0" w:beforeLines="0" w:after="0" w:afterLines="0"/>
        <w:jc w:val="center"/>
        <w:outlineLvl w:val="0"/>
        <w:rPr>
          <w:rFonts w:hint="eastAsia" w:ascii="Cambria" w:hAnsi="Cambria" w:eastAsia="宋体" w:cs="Times New Roman"/>
          <w:b/>
          <w:bCs/>
          <w:color w:val="auto"/>
          <w:sz w:val="32"/>
          <w:szCs w:val="32"/>
        </w:rPr>
      </w:pPr>
      <w:r>
        <w:rPr>
          <w:rFonts w:hint="eastAsia" w:ascii="宋体" w:hAnsi="宋体" w:eastAsia="宋体" w:cs="Times New Roman"/>
          <w:bCs/>
          <w:color w:val="auto"/>
          <w:szCs w:val="24"/>
        </w:rPr>
        <w:br w:type="page"/>
      </w:r>
      <w:bookmarkStart w:id="30" w:name="_Toc24911"/>
      <w:bookmarkStart w:id="31" w:name="_Toc28003"/>
      <w:r>
        <w:rPr>
          <w:rFonts w:hint="eastAsia" w:ascii="Cambria" w:hAnsi="Cambria" w:eastAsia="宋体" w:cs="Times New Roman"/>
          <w:b/>
          <w:bCs/>
          <w:color w:val="auto"/>
          <w:sz w:val="32"/>
          <w:szCs w:val="32"/>
        </w:rPr>
        <w:t>东华大学高等学历继续教育学生学籍管理规定</w:t>
      </w:r>
      <w:bookmarkEnd w:id="30"/>
      <w:bookmarkEnd w:id="31"/>
    </w:p>
    <w:p>
      <w:pPr>
        <w:spacing w:before="0" w:beforeLines="0" w:after="0" w:afterLines="0"/>
        <w:jc w:val="left"/>
        <w:rPr>
          <w:rFonts w:hint="eastAsia" w:ascii="Cambria" w:hAnsi="Cambria" w:eastAsia="宋体" w:cs="Times New Roman"/>
          <w:b/>
          <w:bCs/>
          <w:color w:val="auto"/>
          <w:sz w:val="21"/>
          <w:szCs w:val="21"/>
        </w:rPr>
      </w:pPr>
    </w:p>
    <w:p>
      <w:pPr>
        <w:spacing w:before="0" w:beforeLines="0" w:after="0" w:afterLine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第一章    总  则</w:t>
      </w:r>
    </w:p>
    <w:p>
      <w:pPr>
        <w:pStyle w:val="8"/>
        <w:snapToGrid w:val="0"/>
        <w:spacing w:beforeLines="0" w:afterLines="0"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第一条</w:t>
      </w:r>
      <w:r>
        <w:rPr>
          <w:rFonts w:hint="eastAsia" w:ascii="宋体" w:hAnsi="宋体" w:eastAsia="宋体" w:cs="宋体"/>
          <w:color w:val="auto"/>
          <w:sz w:val="21"/>
          <w:szCs w:val="21"/>
        </w:rPr>
        <w:t xml:space="preserve">  为全面贯彻党的教育方针，维护学校正常的教育教学秩序，保障学生合法权益，培养德智体美劳全面发展的社会主义建设者和接班人，依据《中华人民共和国教育法》《中华人民共和国高等教育法》《普通高等学校学生管理规定》等法律、法规和《东华大学章程》《东华大学本科生学籍管理规定》，结合学校学历继续教育工作的实际情况，特制定本规定。</w:t>
      </w:r>
    </w:p>
    <w:p>
      <w:pPr>
        <w:pStyle w:val="8"/>
        <w:snapToGrid w:val="0"/>
        <w:spacing w:beforeLines="0" w:afterLines="0"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第二条</w:t>
      </w:r>
      <w:r>
        <w:rPr>
          <w:rFonts w:hint="eastAsia" w:ascii="宋体" w:hAnsi="宋体" w:eastAsia="宋体" w:cs="宋体"/>
          <w:color w:val="auto"/>
          <w:sz w:val="21"/>
          <w:szCs w:val="21"/>
        </w:rPr>
        <w:t xml:space="preserve">  东华大学高等学历继续教育实行弹性修业年限和学分制。高起本最低修业年限5年，最高修业年限7年（含休学和保留学籍）；专升本最低修业年限2.5年，最高修业年限5年（含休学和保留学籍）。</w:t>
      </w:r>
    </w:p>
    <w:p>
      <w:pPr>
        <w:spacing w:before="0" w:beforeLines="0" w:after="0" w:afterLine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第二章    入学与注册</w:t>
      </w:r>
    </w:p>
    <w:p>
      <w:pPr>
        <w:pStyle w:val="8"/>
        <w:snapToGrid w:val="0"/>
        <w:spacing w:beforeLines="0" w:afterLines="0"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第三条</w:t>
      </w:r>
      <w:r>
        <w:rPr>
          <w:rFonts w:hint="eastAsia" w:ascii="宋体" w:hAnsi="宋体" w:eastAsia="宋体" w:cs="宋体"/>
          <w:color w:val="auto"/>
          <w:sz w:val="21"/>
          <w:szCs w:val="21"/>
        </w:rPr>
        <w:t xml:space="preserve">  凡按国家招生规定录取的新生，持录取通知书，按学校有关要求和规定的期限办理新生入学手续。因故不能按时入学者，须事先向学校请假并获准，假期一般不得超过2周。未经请假或请假逾期者，除因不可抗力等正当事由以外，视为放弃入学资格。学校按照高等学历继续教育新生入学资格审查相关办法对新生的入学资格进行审查。</w:t>
      </w:r>
    </w:p>
    <w:p>
      <w:pPr>
        <w:pStyle w:val="8"/>
        <w:snapToGrid w:val="0"/>
        <w:spacing w:beforeLines="0" w:afterLines="0"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 xml:space="preserve">第四条  </w:t>
      </w:r>
      <w:r>
        <w:rPr>
          <w:rFonts w:hint="eastAsia" w:ascii="宋体" w:hAnsi="宋体" w:eastAsia="宋体" w:cs="宋体"/>
          <w:color w:val="auto"/>
          <w:sz w:val="21"/>
          <w:szCs w:val="21"/>
        </w:rPr>
        <w:t>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pPr>
        <w:pStyle w:val="8"/>
        <w:snapToGrid w:val="0"/>
        <w:spacing w:beforeLines="0" w:afterLines="0"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第五条</w:t>
      </w:r>
      <w:r>
        <w:rPr>
          <w:rFonts w:hint="eastAsia" w:ascii="宋体" w:hAnsi="宋体" w:eastAsia="宋体" w:cs="宋体"/>
          <w:color w:val="auto"/>
          <w:sz w:val="21"/>
          <w:szCs w:val="21"/>
        </w:rPr>
        <w:t xml:space="preserve">  新生被录取后，如有以下情形经本人书面申请、学校批准，可予保留入学资格：</w:t>
      </w:r>
    </w:p>
    <w:p>
      <w:pPr>
        <w:pStyle w:val="8"/>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（一）新生在入学复查中身心状况不适宜在校学习，经二级甲等以上医院诊断，需要在家休养的，可以向学校申请保留入学资格，经批准可保留入学资格一年；</w:t>
      </w:r>
    </w:p>
    <w:p>
      <w:pPr>
        <w:pStyle w:val="8"/>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（二）新生在入学前应征参加中国人民解放军（含中国人民武装警察部队）的，可向学校申请保留入学资格至退役后两年；</w:t>
      </w:r>
    </w:p>
    <w:p>
      <w:pPr>
        <w:pStyle w:val="8"/>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（三）有其他正当理由的新生。经审批可保留入学资格一年。</w:t>
      </w:r>
    </w:p>
    <w:p>
      <w:pPr>
        <w:pStyle w:val="8"/>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原则上新生在报到前办理保留入学资格手续。保留入学资格期间者不具有学籍，不享受在校学生和休学学生待遇。不申请保留入学资格的，视为放弃入学资格。</w:t>
      </w:r>
    </w:p>
    <w:p>
      <w:pPr>
        <w:pStyle w:val="8"/>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保留入学资格的学生必须在期满前一个月向学校申请入学，经学校审查批准后办理入学手续。审查不合格的，取消入学资格；逾期不办理入学手续且未有因不可抗力延迟等正当理由的，视为放弃入学资格。</w:t>
      </w:r>
    </w:p>
    <w:p>
      <w:pPr>
        <w:pStyle w:val="8"/>
        <w:snapToGrid w:val="0"/>
        <w:spacing w:beforeLines="0" w:afterLines="0"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第六条</w:t>
      </w:r>
      <w:r>
        <w:rPr>
          <w:rFonts w:hint="eastAsia" w:ascii="宋体" w:hAnsi="宋体" w:eastAsia="宋体" w:cs="宋体"/>
          <w:color w:val="auto"/>
          <w:sz w:val="21"/>
          <w:szCs w:val="21"/>
        </w:rPr>
        <w:t xml:space="preserve">  学生入学后，学校在 3 个月内按照国家招生规定，对录取手续及程序、录取资格、学生身份等进行复查。</w:t>
      </w:r>
    </w:p>
    <w:p>
      <w:pPr>
        <w:pStyle w:val="8"/>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复查中发现学生存在弄虚作假、徇私舞弊等情形的，确定为复查不合格，取消学籍；情节严重的，学校移交有关部门调查处理。</w:t>
      </w:r>
    </w:p>
    <w:p>
      <w:pPr>
        <w:pStyle w:val="8"/>
        <w:snapToGrid w:val="0"/>
        <w:spacing w:beforeLines="0" w:afterLines="0"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第七条</w:t>
      </w:r>
      <w:r>
        <w:rPr>
          <w:rFonts w:hint="eastAsia" w:ascii="宋体" w:hAnsi="宋体" w:eastAsia="宋体" w:cs="宋体"/>
          <w:color w:val="auto"/>
          <w:sz w:val="21"/>
          <w:szCs w:val="21"/>
        </w:rPr>
        <w:t xml:space="preserve">  学生在校学习期间，应当按照学校规定办理缴费、注册手续。注册是对在读学生新学期学习资格的认定，在读学生必须按规定按时缴纳学费。未经注册的学生不能登入学习平台，将影响教学活动和该学期学习成绩认定等。</w:t>
      </w:r>
    </w:p>
    <w:p>
      <w:pPr>
        <w:pStyle w:val="8"/>
        <w:snapToGrid w:val="0"/>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故不能如期注册者，必须履行暂缓注册手续，经批准可暂缓注册，暂缓注册一般不得超过1个月。暂缓注册的学生可以修读该学期相关课程，并在缴纳学费后正式注册，其所修课程成绩和学分在正式注册后才有效。无故逾期2周未注册且未履行暂缓注册手续的，除因不可抗力等正当事由以外，作退学处理。</w:t>
      </w:r>
    </w:p>
    <w:p>
      <w:pPr>
        <w:spacing w:before="0" w:beforeLines="0" w:after="0" w:afterLine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第三章    考勤与请假</w:t>
      </w:r>
    </w:p>
    <w:p>
      <w:pPr>
        <w:pStyle w:val="8"/>
        <w:snapToGrid w:val="0"/>
        <w:spacing w:beforeLines="0" w:afterLines="0"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 xml:space="preserve">第八条  </w:t>
      </w:r>
      <w:r>
        <w:rPr>
          <w:rFonts w:hint="eastAsia" w:ascii="宋体" w:hAnsi="宋体" w:eastAsia="宋体" w:cs="宋体"/>
          <w:color w:val="auto"/>
          <w:sz w:val="21"/>
          <w:szCs w:val="21"/>
        </w:rPr>
        <w:t>学生应当参加专业培养方案规定的课程和各种教育教学环节（以下统称“课程”）学习，自觉遵守学校各项纪律，按要求完成规定的学业任务。任课教师根据所授课程的特点及学生人数等情况制定考勤办法，记录出勤情况。</w:t>
      </w:r>
    </w:p>
    <w:p>
      <w:pPr>
        <w:pStyle w:val="8"/>
        <w:snapToGrid w:val="0"/>
        <w:spacing w:beforeLines="0" w:afterLines="0"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 xml:space="preserve">第九条 </w:t>
      </w:r>
      <w:r>
        <w:rPr>
          <w:rFonts w:hint="eastAsia" w:ascii="宋体" w:hAnsi="宋体" w:eastAsia="宋体" w:cs="宋体"/>
          <w:color w:val="auto"/>
          <w:sz w:val="21"/>
          <w:szCs w:val="21"/>
        </w:rPr>
        <w:t xml:space="preserve"> 因故无法按时参加课程学习者，要事先向任课教师请假。因特殊原因不能事先请假者必须在3个工作日内补假。</w:t>
      </w:r>
    </w:p>
    <w:p>
      <w:pPr>
        <w:pStyle w:val="8"/>
        <w:snapToGrid w:val="0"/>
        <w:spacing w:beforeLines="0" w:afterLines="0"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第十条</w:t>
      </w:r>
      <w:r>
        <w:rPr>
          <w:rFonts w:hint="eastAsia" w:ascii="宋体" w:hAnsi="宋体" w:eastAsia="宋体" w:cs="宋体"/>
          <w:color w:val="auto"/>
          <w:sz w:val="21"/>
          <w:szCs w:val="21"/>
        </w:rPr>
        <w:t xml:space="preserve">  学生出勤情况由任课教师负责统计，考勤成绩计入平时成绩。</w:t>
      </w:r>
    </w:p>
    <w:p>
      <w:pPr>
        <w:spacing w:before="0" w:beforeLines="0" w:after="0" w:afterLine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第四章    课程考核与成绩记载</w:t>
      </w:r>
    </w:p>
    <w:p>
      <w:pPr>
        <w:pStyle w:val="8"/>
        <w:snapToGrid w:val="0"/>
        <w:spacing w:beforeLines="0" w:afterLines="0"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第十一条</w:t>
      </w:r>
      <w:r>
        <w:rPr>
          <w:rFonts w:hint="eastAsia" w:ascii="宋体" w:hAnsi="宋体" w:eastAsia="宋体" w:cs="宋体"/>
          <w:color w:val="auto"/>
          <w:sz w:val="21"/>
          <w:szCs w:val="21"/>
        </w:rPr>
        <w:t xml:space="preserve">  学生必须参加教学计划规定的课程考核，考核合格者可取得该课程的学分。考核成绩与学分归入学籍档案。</w:t>
      </w:r>
    </w:p>
    <w:p>
      <w:pPr>
        <w:pStyle w:val="8"/>
        <w:snapToGrid w:val="0"/>
        <w:spacing w:beforeLines="0" w:afterLines="0"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第十二条</w:t>
      </w:r>
      <w:r>
        <w:rPr>
          <w:rFonts w:hint="eastAsia" w:ascii="宋体" w:hAnsi="宋体" w:eastAsia="宋体" w:cs="宋体"/>
          <w:color w:val="auto"/>
          <w:sz w:val="21"/>
          <w:szCs w:val="21"/>
        </w:rPr>
        <w:t xml:space="preserve">  课程考核方式分为考试与考查两种，考核方式根据教学管理有关规定和课程教学要求制定。</w:t>
      </w:r>
    </w:p>
    <w:p>
      <w:pPr>
        <w:pStyle w:val="8"/>
        <w:snapToGrid w:val="0"/>
        <w:spacing w:beforeLines="0" w:afterLines="0"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第十三条</w:t>
      </w:r>
      <w:r>
        <w:rPr>
          <w:rFonts w:hint="eastAsia" w:ascii="宋体" w:hAnsi="宋体" w:eastAsia="宋体" w:cs="宋体"/>
          <w:color w:val="auto"/>
          <w:sz w:val="21"/>
          <w:szCs w:val="21"/>
        </w:rPr>
        <w:t xml:space="preserve">  课程成绩一般采用百分制记载。课程期末考核成绩占总评成绩的比例原则上不低于50%，不超过70%。</w:t>
      </w:r>
    </w:p>
    <w:p>
      <w:pPr>
        <w:pStyle w:val="8"/>
        <w:snapToGrid w:val="0"/>
        <w:spacing w:beforeLines="0" w:afterLines="0" w:line="360" w:lineRule="auto"/>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第十四条</w:t>
      </w:r>
      <w:r>
        <w:rPr>
          <w:rFonts w:hint="eastAsia" w:ascii="宋体" w:hAnsi="宋体" w:eastAsia="宋体" w:cs="宋体"/>
          <w:color w:val="auto"/>
          <w:sz w:val="21"/>
          <w:szCs w:val="21"/>
        </w:rPr>
        <w:t xml:space="preserve">  考查课程无补考；考试课程缺考或不及格，允许参加一次补考。</w:t>
      </w:r>
    </w:p>
    <w:p>
      <w:pPr>
        <w:pStyle w:val="8"/>
        <w:snapToGrid w:val="0"/>
        <w:spacing w:beforeLines="0" w:afterLines="0"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第十五</w:t>
      </w:r>
      <w:r>
        <w:rPr>
          <w:rFonts w:hint="eastAsia" w:ascii="宋体" w:hAnsi="宋体" w:eastAsia="宋体" w:cs="宋体"/>
          <w:b/>
          <w:color w:val="auto"/>
          <w:sz w:val="21"/>
          <w:szCs w:val="21"/>
        </w:rPr>
        <w:t>条</w:t>
      </w:r>
      <w:r>
        <w:rPr>
          <w:rFonts w:hint="eastAsia" w:ascii="宋体" w:hAnsi="宋体" w:eastAsia="宋体" w:cs="宋体"/>
          <w:color w:val="auto"/>
          <w:sz w:val="21"/>
          <w:szCs w:val="21"/>
        </w:rPr>
        <w:t xml:space="preserve">  凡考试作弊或违反考核纪律的，相应课程成绩记“0”分。学校对其批评教育，并视其违纪或作弊情节，给予相应的纪律处分。</w:t>
      </w:r>
    </w:p>
    <w:p>
      <w:pPr>
        <w:spacing w:before="0" w:beforeLines="0" w:after="0" w:afterLine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第五章    免考与课程重新修读</w:t>
      </w:r>
    </w:p>
    <w:p>
      <w:pPr>
        <w:pStyle w:val="8"/>
        <w:snapToGrid w:val="0"/>
        <w:spacing w:beforeLines="0" w:afterLines="0"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第十六</w:t>
      </w:r>
      <w:r>
        <w:rPr>
          <w:rFonts w:hint="eastAsia" w:ascii="宋体" w:hAnsi="宋体" w:eastAsia="宋体" w:cs="宋体"/>
          <w:b/>
          <w:color w:val="auto"/>
          <w:sz w:val="21"/>
          <w:szCs w:val="21"/>
        </w:rPr>
        <w:t>条</w:t>
      </w:r>
      <w:r>
        <w:rPr>
          <w:rFonts w:hint="eastAsia" w:ascii="宋体" w:hAnsi="宋体" w:eastAsia="宋体" w:cs="宋体"/>
          <w:color w:val="auto"/>
          <w:sz w:val="21"/>
          <w:szCs w:val="21"/>
        </w:rPr>
        <w:t xml:space="preserve">  具有同层次或更高层次学历教育（含高等教育自学考试）的同一课程成绩合格证明者，以及学校认定范围内的相关非学历证书者，可申请免考相应的课程。认定免考后的课程实行“免考不免修”。</w:t>
      </w:r>
    </w:p>
    <w:p>
      <w:pPr>
        <w:pStyle w:val="8"/>
        <w:snapToGrid w:val="0"/>
        <w:spacing w:beforeLines="0" w:afterLines="0"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rPr>
        <w:t>第十七</w:t>
      </w:r>
      <w:r>
        <w:rPr>
          <w:rFonts w:hint="eastAsia" w:ascii="宋体" w:hAnsi="宋体" w:eastAsia="宋体" w:cs="宋体"/>
          <w:b/>
          <w:color w:val="auto"/>
          <w:sz w:val="21"/>
          <w:szCs w:val="21"/>
        </w:rPr>
        <w:t>条</w:t>
      </w:r>
      <w:r>
        <w:rPr>
          <w:rFonts w:hint="eastAsia" w:ascii="宋体" w:hAnsi="宋体" w:eastAsia="宋体" w:cs="宋体"/>
          <w:color w:val="auto"/>
          <w:sz w:val="21"/>
          <w:szCs w:val="21"/>
        </w:rPr>
        <w:t xml:space="preserve">  课程考核不合格者，须申请重新修读。学生本人在规定时间提出申请，经批准并缴费后，方可重新修读课程。</w:t>
      </w:r>
    </w:p>
    <w:p>
      <w:pPr>
        <w:spacing w:before="0" w:beforeLines="0" w:after="0" w:afterLine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第六章    转专业与转学</w:t>
      </w:r>
    </w:p>
    <w:p>
      <w:pPr>
        <w:widowControl/>
        <w:snapToGrid w:val="0"/>
        <w:spacing w:beforeLines="0" w:afterLines="0"/>
        <w:ind w:firstLine="420"/>
        <w:jc w:val="left"/>
        <w:rPr>
          <w:rFonts w:hint="eastAsia" w:ascii="宋体" w:hAnsi="宋体" w:eastAsia="宋体" w:cs="宋体"/>
          <w:color w:val="auto"/>
          <w:sz w:val="21"/>
          <w:szCs w:val="21"/>
        </w:rPr>
      </w:pPr>
      <w:r>
        <w:rPr>
          <w:rFonts w:hint="eastAsia" w:ascii="宋体" w:hAnsi="宋体" w:eastAsia="宋体" w:cs="宋体"/>
          <w:b/>
          <w:color w:val="auto"/>
          <w:kern w:val="0"/>
          <w:sz w:val="21"/>
          <w:szCs w:val="21"/>
        </w:rPr>
        <w:t xml:space="preserve">第十八条  </w:t>
      </w:r>
      <w:r>
        <w:rPr>
          <w:rFonts w:hint="eastAsia" w:ascii="宋体" w:hAnsi="宋体" w:eastAsia="宋体" w:cs="宋体"/>
          <w:color w:val="auto"/>
          <w:sz w:val="21"/>
          <w:szCs w:val="21"/>
        </w:rPr>
        <w:t>入学后第二、三学期，学院接受学生因特殊原因提出的转专业申请。所转入专业限于同层次、同类别的专业范围。转专业须在规定时间内由学生本人提出申请，经批准后方可转入新专业。</w:t>
      </w:r>
    </w:p>
    <w:p>
      <w:pPr>
        <w:widowControl/>
        <w:snapToGrid w:val="0"/>
        <w:spacing w:beforeLines="0" w:afterLines="0"/>
        <w:ind w:firstLine="420"/>
        <w:jc w:val="left"/>
        <w:rPr>
          <w:rFonts w:hint="eastAsia" w:ascii="宋体" w:hAnsi="宋体" w:eastAsia="宋体" w:cs="宋体"/>
          <w:color w:val="auto"/>
          <w:sz w:val="21"/>
          <w:szCs w:val="21"/>
        </w:rPr>
      </w:pPr>
      <w:r>
        <w:rPr>
          <w:rFonts w:hint="eastAsia" w:ascii="宋体" w:hAnsi="宋体" w:eastAsia="宋体" w:cs="宋体"/>
          <w:b/>
          <w:color w:val="auto"/>
          <w:kern w:val="0"/>
          <w:sz w:val="21"/>
          <w:szCs w:val="21"/>
        </w:rPr>
        <w:t>第十九条</w:t>
      </w:r>
      <w:r>
        <w:rPr>
          <w:rFonts w:hint="eastAsia" w:ascii="宋体" w:hAnsi="宋体" w:eastAsia="宋体" w:cs="宋体"/>
          <w:color w:val="auto"/>
          <w:kern w:val="0"/>
          <w:sz w:val="21"/>
          <w:szCs w:val="21"/>
        </w:rPr>
        <w:t xml:space="preserve">  </w:t>
      </w:r>
      <w:r>
        <w:rPr>
          <w:rFonts w:hint="eastAsia" w:ascii="宋体" w:hAnsi="宋体" w:eastAsia="宋体" w:cs="宋体"/>
          <w:color w:val="auto"/>
          <w:sz w:val="21"/>
          <w:szCs w:val="21"/>
        </w:rPr>
        <w:t>因患病或者有特殊困难、特别需要，无法继续在本校学习或者不适应本校学习要求的，可以申请转学。有下列情形之一，不得转学：</w:t>
      </w:r>
    </w:p>
    <w:p>
      <w:pPr>
        <w:widowControl/>
        <w:snapToGrid w:val="0"/>
        <w:spacing w:beforeLines="0" w:afterLines="0"/>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1、新生入学未满一个学期或者毕业前一年的；</w:t>
      </w:r>
    </w:p>
    <w:p>
      <w:pPr>
        <w:widowControl/>
        <w:snapToGrid w:val="0"/>
        <w:spacing w:beforeLines="0" w:afterLines="0"/>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2、成人高考成绩低于拟转入学校相关专业同一生源地相应年份录取成绩的；</w:t>
      </w:r>
    </w:p>
    <w:p>
      <w:pPr>
        <w:widowControl/>
        <w:snapToGrid w:val="0"/>
        <w:spacing w:beforeLines="0" w:afterLines="0"/>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3、招生入学考试科目不同的专业或院校；</w:t>
      </w:r>
    </w:p>
    <w:p>
      <w:pPr>
        <w:widowControl/>
        <w:snapToGrid w:val="0"/>
        <w:spacing w:beforeLines="0" w:afterLines="0"/>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4、本、专科不得互转；</w:t>
      </w:r>
    </w:p>
    <w:p>
      <w:pPr>
        <w:widowControl/>
        <w:snapToGrid w:val="0"/>
        <w:spacing w:beforeLines="0" w:afterLines="0"/>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5、无正当理由的。</w:t>
      </w:r>
    </w:p>
    <w:p>
      <w:pPr>
        <w:widowControl/>
        <w:snapToGrid w:val="0"/>
        <w:spacing w:beforeLines="0" w:afterLines="0"/>
        <w:ind w:firstLine="420"/>
        <w:jc w:val="left"/>
        <w:rPr>
          <w:rFonts w:hint="eastAsia" w:ascii="宋体" w:hAnsi="宋体" w:eastAsia="宋体" w:cs="宋体"/>
          <w:color w:val="auto"/>
          <w:sz w:val="21"/>
          <w:szCs w:val="21"/>
        </w:rPr>
      </w:pPr>
      <w:r>
        <w:rPr>
          <w:rFonts w:hint="eastAsia" w:ascii="宋体" w:hAnsi="宋体" w:eastAsia="宋体" w:cs="宋体"/>
          <w:b/>
          <w:color w:val="auto"/>
          <w:kern w:val="0"/>
          <w:sz w:val="21"/>
          <w:szCs w:val="21"/>
        </w:rPr>
        <w:t>第二十条</w:t>
      </w:r>
      <w:r>
        <w:rPr>
          <w:rFonts w:hint="eastAsia" w:ascii="宋体" w:hAnsi="宋体" w:eastAsia="宋体" w:cs="宋体"/>
          <w:color w:val="auto"/>
          <w:kern w:val="0"/>
          <w:sz w:val="21"/>
          <w:szCs w:val="21"/>
        </w:rPr>
        <w:t xml:space="preserve">  </w:t>
      </w:r>
      <w:r>
        <w:rPr>
          <w:rFonts w:hint="eastAsia" w:ascii="宋体" w:hAnsi="宋体" w:eastAsia="宋体" w:cs="宋体"/>
          <w:color w:val="auto"/>
          <w:sz w:val="21"/>
          <w:szCs w:val="21"/>
        </w:rPr>
        <w:t>学生转学由学生本人提出申请，说明理由，经所在学校和拟转入学校同意，由转入学校负责审核转学条件及相关证明，认为符合本校培养要求且学校有培养能力的，由转入学校把转学审批表及相关证明、材料上报上海市教育行政主管部门审批。</w:t>
      </w:r>
    </w:p>
    <w:p>
      <w:pPr>
        <w:widowControl/>
        <w:snapToGrid w:val="0"/>
        <w:spacing w:beforeLines="0" w:afterLines="0"/>
        <w:ind w:firstLine="420"/>
        <w:jc w:val="left"/>
        <w:rPr>
          <w:rFonts w:hint="eastAsia" w:ascii="宋体" w:hAnsi="宋体" w:eastAsia="宋体" w:cs="宋体"/>
          <w:color w:val="auto"/>
          <w:sz w:val="21"/>
          <w:szCs w:val="21"/>
        </w:rPr>
      </w:pPr>
      <w:r>
        <w:rPr>
          <w:rFonts w:hint="eastAsia" w:ascii="宋体" w:hAnsi="宋体" w:eastAsia="宋体" w:cs="宋体"/>
          <w:color w:val="auto"/>
          <w:sz w:val="21"/>
          <w:szCs w:val="21"/>
        </w:rPr>
        <w:t>跨省转学的，由转出地省级教育行政部门商转入地省级教育行政部门，按转学条件确认后办理转学手续。</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kern w:val="0"/>
          <w:sz w:val="21"/>
          <w:szCs w:val="21"/>
        </w:rPr>
        <w:t xml:space="preserve">第二十一条  </w:t>
      </w:r>
      <w:r>
        <w:rPr>
          <w:rFonts w:hint="eastAsia" w:ascii="宋体" w:hAnsi="宋体" w:eastAsia="宋体" w:cs="宋体"/>
          <w:color w:val="auto"/>
          <w:sz w:val="21"/>
          <w:szCs w:val="21"/>
        </w:rPr>
        <w:t>转学申请批准后，学生应向学校提交原学校出具的已修课程成绩证明。</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kern w:val="0"/>
          <w:sz w:val="21"/>
          <w:szCs w:val="21"/>
        </w:rPr>
        <w:t xml:space="preserve">第二十二条 </w:t>
      </w:r>
      <w:r>
        <w:rPr>
          <w:rFonts w:hint="eastAsia" w:ascii="宋体" w:hAnsi="宋体" w:eastAsia="宋体" w:cs="宋体"/>
          <w:color w:val="auto"/>
          <w:kern w:val="0"/>
          <w:sz w:val="21"/>
          <w:szCs w:val="21"/>
        </w:rPr>
        <w:t xml:space="preserve"> </w:t>
      </w:r>
      <w:r>
        <w:rPr>
          <w:rFonts w:hint="eastAsia" w:ascii="宋体" w:hAnsi="宋体" w:eastAsia="宋体" w:cs="宋体"/>
          <w:color w:val="auto"/>
          <w:sz w:val="21"/>
          <w:szCs w:val="21"/>
        </w:rPr>
        <w:t>被批准转专业、转学者，须按转入专业的教学计划修读课程，已修的相同名称课程成绩予以认可，未修课程需通过缴费修读完成。</w:t>
      </w:r>
    </w:p>
    <w:p>
      <w:pPr>
        <w:spacing w:before="0" w:beforeLines="0" w:after="0" w:afterLines="0"/>
        <w:jc w:val="center"/>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rPr>
        <w:t xml:space="preserve"> </w:t>
      </w:r>
      <w:r>
        <w:rPr>
          <w:rFonts w:hint="eastAsia" w:ascii="宋体" w:hAnsi="宋体" w:eastAsia="宋体" w:cs="宋体"/>
          <w:b/>
          <w:bCs/>
          <w:color w:val="auto"/>
          <w:sz w:val="28"/>
          <w:szCs w:val="28"/>
        </w:rPr>
        <w:t>第七章    休学与复学</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第二十三条</w:t>
      </w:r>
      <w:r>
        <w:rPr>
          <w:rFonts w:hint="eastAsia" w:ascii="宋体" w:hAnsi="宋体" w:eastAsia="宋体" w:cs="宋体"/>
          <w:color w:val="auto"/>
          <w:sz w:val="21"/>
          <w:szCs w:val="21"/>
        </w:rPr>
        <w:t xml:space="preserve">  学生有下列情形之一者，应予休学：</w:t>
      </w:r>
    </w:p>
    <w:p>
      <w:pPr>
        <w:widowControl/>
        <w:snapToGrid w:val="0"/>
        <w:spacing w:beforeLines="0" w:afterLines="0"/>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1、因出国、生病或工作与学习冲突等原因不能坚持学习者；</w:t>
      </w:r>
    </w:p>
    <w:p>
      <w:pPr>
        <w:widowControl/>
        <w:snapToGrid w:val="0"/>
        <w:spacing w:beforeLines="0" w:afterLines="0"/>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2、因特殊原因，本人申请经学校批准者；</w:t>
      </w:r>
    </w:p>
    <w:p>
      <w:pPr>
        <w:widowControl/>
        <w:snapToGrid w:val="0"/>
        <w:spacing w:beforeLines="0" w:afterLines="0"/>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3、因其他原因，学校认为必须休学者。</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 xml:space="preserve">第二十四条  </w:t>
      </w:r>
      <w:r>
        <w:rPr>
          <w:rFonts w:hint="eastAsia" w:ascii="宋体" w:hAnsi="宋体" w:eastAsia="宋体" w:cs="宋体"/>
          <w:color w:val="auto"/>
          <w:sz w:val="21"/>
          <w:szCs w:val="21"/>
        </w:rPr>
        <w:t>在校学生应征参加中国人民解放军（含中国人民武装警察部队），可凭入伍通知书办理保留学籍手续，保留学籍至退役后2年。服役时间不计入修业年限。学生保留学籍期间，与其实际所在的部队等组织建立管理关系。</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第二十五条</w:t>
      </w:r>
      <w:r>
        <w:rPr>
          <w:rFonts w:hint="eastAsia" w:ascii="宋体" w:hAnsi="宋体" w:eastAsia="宋体" w:cs="宋体"/>
          <w:color w:val="auto"/>
          <w:sz w:val="21"/>
          <w:szCs w:val="21"/>
        </w:rPr>
        <w:t xml:space="preserve">  学生休学以学年为单位，累计不得超过两学年。学生本人必须在学校规定期限内提出休学申请，经审批同意后生效。</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第二十六条</w:t>
      </w:r>
      <w:r>
        <w:rPr>
          <w:rFonts w:hint="eastAsia" w:ascii="宋体" w:hAnsi="宋体" w:eastAsia="宋体" w:cs="宋体"/>
          <w:color w:val="auto"/>
          <w:sz w:val="21"/>
          <w:szCs w:val="21"/>
        </w:rPr>
        <w:t xml:space="preserve">  学生休学时间计入修业年限，但不享受在校学习学生待遇。</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第二十七条</w:t>
      </w:r>
      <w:r>
        <w:rPr>
          <w:rFonts w:hint="eastAsia" w:ascii="宋体" w:hAnsi="宋体" w:eastAsia="宋体" w:cs="宋体"/>
          <w:color w:val="auto"/>
          <w:sz w:val="21"/>
          <w:szCs w:val="21"/>
        </w:rPr>
        <w:t xml:space="preserve">  休学期满，学生应在规定时间内提交复学申请、相关证明（因病休学，要有县级及以上医院病情诊断书）及休学证明书，经审批同意后方可复学。休学期满后仍需要继续休学的，须办理继续休学手续，逾期未办理，学校可予退学处理。</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第二十八条</w:t>
      </w:r>
      <w:r>
        <w:rPr>
          <w:rFonts w:hint="eastAsia" w:ascii="宋体" w:hAnsi="宋体" w:eastAsia="宋体" w:cs="宋体"/>
          <w:color w:val="auto"/>
          <w:sz w:val="21"/>
          <w:szCs w:val="21"/>
        </w:rPr>
        <w:t xml:space="preserve">  复学者，依其选修课程情况及复学时间编入原专业相应年级学习，并按相应年级专业收费标准缴费。若遇教学计划调整，按新就读班级的教学计划执行，已修课程名称相同，原先取得的成绩予以认可，未修课程需通过缴费修读完成。休学学生申请复学时，若无相应年级专业，按第十八条规定做转专业处理，经学生本人提出书面申请后，转入同类别的其他专业学习，并按转入专业的教学计划执行。</w:t>
      </w:r>
    </w:p>
    <w:p>
      <w:pPr>
        <w:spacing w:before="0" w:beforeLines="0" w:after="0" w:afterLine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第八章    退学</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第二十九条</w:t>
      </w:r>
      <w:r>
        <w:rPr>
          <w:rFonts w:hint="eastAsia" w:ascii="宋体" w:hAnsi="宋体" w:eastAsia="宋体" w:cs="宋体"/>
          <w:color w:val="auto"/>
          <w:sz w:val="21"/>
          <w:szCs w:val="21"/>
        </w:rPr>
        <w:t xml:space="preserve">  学生有下列情形之一者，学校可予退学处理：     </w:t>
      </w:r>
    </w:p>
    <w:p>
      <w:pPr>
        <w:widowControl/>
        <w:snapToGrid w:val="0"/>
        <w:spacing w:beforeLines="0" w:afterLines="0"/>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 经医院诊断，患有疾病或意外伤残不能继续在校学习者；</w:t>
      </w:r>
    </w:p>
    <w:p>
      <w:pPr>
        <w:widowControl/>
        <w:snapToGrid w:val="0"/>
        <w:spacing w:beforeLines="0" w:afterLines="0"/>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2、休学、保留学籍期满，在规定期限内未提出复学申请，或申请复学经复查不合格者；</w:t>
      </w:r>
    </w:p>
    <w:p>
      <w:pPr>
        <w:widowControl/>
        <w:snapToGrid w:val="0"/>
        <w:spacing w:beforeLines="0" w:afterLines="0"/>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3、在学校规定的修业年限内（含休学和保留学籍）未完成全部学业者；</w:t>
      </w:r>
    </w:p>
    <w:p>
      <w:pPr>
        <w:widowControl/>
        <w:snapToGrid w:val="0"/>
        <w:spacing w:beforeLines="0" w:afterLines="0"/>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4、超过学校规定期限未注册而又未履行暂缓注册手续，未缴纳学费者；</w:t>
      </w:r>
    </w:p>
    <w:p>
      <w:pPr>
        <w:widowControl/>
        <w:snapToGrid w:val="0"/>
        <w:spacing w:beforeLines="0" w:afterLines="0"/>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5、学校规定的不能完成学业、应予退学的其他情形。</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第三十条</w:t>
      </w:r>
      <w:r>
        <w:rPr>
          <w:rFonts w:hint="eastAsia" w:ascii="宋体" w:hAnsi="宋体" w:eastAsia="宋体" w:cs="宋体"/>
          <w:color w:val="auto"/>
          <w:sz w:val="21"/>
          <w:szCs w:val="21"/>
        </w:rPr>
        <w:t xml:space="preserve">  对学生拟作退学处理时，学院应告知学生处理的事实、理由及依据，并充分听取学生的陈述和申辩以及做好相关记录或材料收集工作。由继续教育学院院务会讨论后提出拟处理意见，经法治办公室合法性审查，报校长办公会议审定后，由学校出具相关处理决定书。</w:t>
      </w:r>
    </w:p>
    <w:p>
      <w:pPr>
        <w:widowControl/>
        <w:snapToGrid w:val="0"/>
        <w:spacing w:beforeLines="0" w:afterLines="0"/>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学校对学生给予退学处分前，应当告知学生有要求举行听证的权利。</w:t>
      </w:r>
    </w:p>
    <w:p>
      <w:pPr>
        <w:widowControl/>
        <w:snapToGrid w:val="0"/>
        <w:spacing w:beforeLines="0" w:afterLines="0"/>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退学处理决定由学院送达学生本人，由其本人在回执上签字。学生拒绝签收相关处理意见和决定等相关文件或难以联系的，可通过学校网站、新闻媒体等发布公告，30日后即视为送达。</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第三十一条</w:t>
      </w:r>
      <w:r>
        <w:rPr>
          <w:rFonts w:hint="eastAsia" w:ascii="宋体" w:hAnsi="宋体" w:eastAsia="宋体" w:cs="宋体"/>
          <w:color w:val="auto"/>
          <w:sz w:val="21"/>
          <w:szCs w:val="21"/>
        </w:rPr>
        <w:t xml:space="preserve">  学生本人申请退学的，经学院审核同意后，办理退学手续。学生缴纳学费后申请退学，学院根据学生已修学分数和实际学习时间计退剩余学费。学生须凭校财务处出具的电子票据申请退费，退费计算日期以学生本人提交退学申请</w:t>
      </w:r>
      <w:r>
        <w:rPr>
          <w:rFonts w:hint="eastAsia" w:ascii="宋体" w:hAnsi="宋体" w:cs="宋体"/>
          <w:color w:val="auto"/>
          <w:sz w:val="21"/>
          <w:szCs w:val="21"/>
          <w:lang w:eastAsia="zh-CN"/>
        </w:rPr>
        <w:t>日期</w:t>
      </w:r>
      <w:r>
        <w:rPr>
          <w:rFonts w:hint="eastAsia" w:ascii="宋体" w:hAnsi="宋体" w:eastAsia="宋体" w:cs="宋体"/>
          <w:color w:val="auto"/>
          <w:sz w:val="21"/>
          <w:szCs w:val="21"/>
        </w:rPr>
        <w:t>为准。</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 xml:space="preserve">第三十二条  </w:t>
      </w:r>
      <w:r>
        <w:rPr>
          <w:rFonts w:hint="eastAsia" w:ascii="宋体" w:hAnsi="宋体" w:eastAsia="宋体" w:cs="宋体"/>
          <w:color w:val="auto"/>
          <w:sz w:val="21"/>
          <w:szCs w:val="21"/>
        </w:rPr>
        <w:t>退学学生必须在学校规定期限内办理退学手续离校，无故超过规定期限2周不办理退学手续者，学校将注销其在校各种关系。退学学生办理完退学手续后，学校发给写实性学习证明。</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 xml:space="preserve">第三十三条  </w:t>
      </w:r>
      <w:r>
        <w:rPr>
          <w:rFonts w:hint="eastAsia" w:ascii="宋体" w:hAnsi="宋体" w:eastAsia="宋体" w:cs="宋体"/>
          <w:color w:val="auto"/>
          <w:sz w:val="21"/>
          <w:szCs w:val="21"/>
        </w:rPr>
        <w:t>学生对退学处理有异议的，可以按照学校相关规定进行申诉。</w:t>
      </w:r>
    </w:p>
    <w:p>
      <w:pPr>
        <w:spacing w:before="0" w:beforeLines="0" w:after="0" w:afterLine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第九章    毕业与结业</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 xml:space="preserve">第三十四条  </w:t>
      </w:r>
      <w:r>
        <w:rPr>
          <w:rFonts w:hint="eastAsia" w:ascii="宋体" w:hAnsi="宋体" w:eastAsia="宋体" w:cs="宋体"/>
          <w:color w:val="auto"/>
          <w:sz w:val="21"/>
          <w:szCs w:val="21"/>
        </w:rPr>
        <w:t>具有学籍的学生，在规定的修业年限内，取得教学计划规定的全部学分，准予毕业，由东华大学颁发高等学历继续教育毕业证书。</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 xml:space="preserve">第三十五条  </w:t>
      </w:r>
      <w:r>
        <w:rPr>
          <w:rFonts w:hint="eastAsia" w:ascii="宋体" w:hAnsi="宋体" w:eastAsia="宋体" w:cs="宋体"/>
          <w:color w:val="auto"/>
          <w:sz w:val="21"/>
          <w:szCs w:val="21"/>
        </w:rPr>
        <w:t>本科学士学位的申请与授予，按照《东华大学高等学历继续教育本科毕业生申请授予学士学位实施细则》执行。符合申请学位条件者，经本人申请，学校审核，可授予高等学历继续教育学士学位。</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 xml:space="preserve">第三十六条  </w:t>
      </w:r>
      <w:r>
        <w:rPr>
          <w:rFonts w:hint="eastAsia" w:ascii="宋体" w:hAnsi="宋体" w:eastAsia="宋体" w:cs="宋体"/>
          <w:color w:val="auto"/>
          <w:sz w:val="21"/>
          <w:szCs w:val="21"/>
        </w:rPr>
        <w:t>具有学籍的学生，在规定的修业年限期满，修完教学计划规定的全部课程，但未取得全部学分，达不到毕业要求者，经本人申请，准予结业，颁发结业证书。</w:t>
      </w:r>
    </w:p>
    <w:p>
      <w:pPr>
        <w:snapToGrid/>
        <w:spacing w:before="0" w:beforeLines="0" w:after="0" w:afterLines="0"/>
        <w:ind w:firstLine="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第十章  学业证书管理</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 xml:space="preserve">第三十七条  </w:t>
      </w:r>
      <w:r>
        <w:rPr>
          <w:rFonts w:hint="eastAsia" w:ascii="宋体" w:hAnsi="宋体" w:eastAsia="宋体" w:cs="宋体"/>
          <w:color w:val="auto"/>
          <w:sz w:val="21"/>
          <w:szCs w:val="21"/>
        </w:rPr>
        <w:t>学校按照招生时确定的办学类型和学习形式，以及学生招生录取时填报的个人信息，填写、颁发学历证书、学位证书及其他学业证书，并对学生学历、学位信息进行备案。</w:t>
      </w:r>
    </w:p>
    <w:p>
      <w:pPr>
        <w:widowControl/>
        <w:snapToGrid w:val="0"/>
        <w:spacing w:beforeLines="0" w:afterLines="0"/>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学生在校期间变更姓名、出生日期等证书需填写的个人信息的，应当有合理、充分的理由，并提供有法定效力的相应证明文件，由学校进行审查。</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第三十八条</w:t>
      </w:r>
      <w:r>
        <w:rPr>
          <w:rFonts w:hint="eastAsia" w:ascii="宋体" w:hAnsi="宋体" w:eastAsia="宋体" w:cs="宋体"/>
          <w:color w:val="auto"/>
          <w:sz w:val="21"/>
          <w:szCs w:val="21"/>
        </w:rPr>
        <w:t xml:space="preserve">  学校执行高等教育学籍学历电子注册管理制度，按相关规定及时完成学生学籍学历电子注册。已经进行学历电子注册并提供网上查询后，不再变更证书内容及注册信息，原则上不再受理学生信息变更。</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第三十九条</w:t>
      </w:r>
      <w:r>
        <w:rPr>
          <w:rFonts w:hint="eastAsia" w:ascii="宋体" w:hAnsi="宋体" w:eastAsia="宋体" w:cs="宋体"/>
          <w:color w:val="auto"/>
          <w:sz w:val="21"/>
          <w:szCs w:val="21"/>
        </w:rPr>
        <w:t xml:space="preserve">  学生根据《高等教育学历证书电子注册图像采集规范及信息标准》的具体要求，完成学历证件照片采集，保证学历照片能真实反映本人相貌。学校每年对即将毕业的学生开展身份核查工作，将学生毕业照片与录取照片、入学照片、居民身份证照片进行人像比对，对人像比对不一致、违反招生规定、无学籍、空档学籍或不具备毕业资格的学生不予颁发学历证书。</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第四十</w:t>
      </w:r>
      <w:r>
        <w:rPr>
          <w:rFonts w:hint="eastAsia" w:ascii="宋体" w:hAnsi="宋体" w:eastAsia="宋体" w:cs="宋体"/>
          <w:b/>
          <w:bCs/>
          <w:color w:val="auto"/>
          <w:sz w:val="21"/>
          <w:szCs w:val="21"/>
          <w:shd w:val="clear" w:color="auto" w:fill="FFFFFF"/>
        </w:rPr>
        <w:t>条</w:t>
      </w:r>
      <w:r>
        <w:rPr>
          <w:rFonts w:hint="eastAsia" w:ascii="宋体" w:hAnsi="宋体" w:eastAsia="宋体" w:cs="宋体"/>
          <w:color w:val="auto"/>
          <w:sz w:val="21"/>
          <w:szCs w:val="21"/>
          <w:shd w:val="clear" w:color="auto" w:fill="FFFFFF"/>
        </w:rPr>
        <w:t xml:space="preserve">  </w:t>
      </w:r>
      <w:r>
        <w:rPr>
          <w:rFonts w:hint="eastAsia" w:ascii="宋体" w:hAnsi="宋体" w:eastAsia="宋体" w:cs="宋体"/>
          <w:color w:val="auto"/>
          <w:sz w:val="21"/>
          <w:szCs w:val="21"/>
        </w:rPr>
        <w:t>对违反国家招生规定取得入学资格或者学籍的，学校取消其学籍，不发给学历证书、学位证书；已发的学历证书、学位证书，学校依法予以撤销。对以作弊、剽窃、抄袭等学术不端行为或者其他不正当手段获得学历证书、学位证书的，学校依法予以撤销。被撤销的学历证书、学位证书已注册的，学校予以注销并报教育行政部门宣布无效。</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 xml:space="preserve">第四十一条  </w:t>
      </w:r>
      <w:r>
        <w:rPr>
          <w:rFonts w:hint="eastAsia" w:ascii="宋体" w:hAnsi="宋体" w:eastAsia="宋体" w:cs="宋体"/>
          <w:color w:val="auto"/>
          <w:sz w:val="21"/>
          <w:szCs w:val="21"/>
        </w:rPr>
        <w:t>学历证书和学位证书遗失或损坏，不予补发。经本人申请，学校核实后，应当出具相应的证明书，证明书与原证书具有同等效力。</w:t>
      </w:r>
    </w:p>
    <w:p>
      <w:pPr>
        <w:snapToGrid/>
        <w:spacing w:before="0" w:beforeLines="0" w:after="0" w:afterLines="0"/>
        <w:ind w:firstLine="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第十一章    附则</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rPr>
        <w:t>第四十二条</w:t>
      </w:r>
      <w:r>
        <w:rPr>
          <w:rFonts w:hint="eastAsia" w:ascii="宋体" w:hAnsi="宋体" w:eastAsia="宋体" w:cs="宋体"/>
          <w:color w:val="auto"/>
          <w:sz w:val="21"/>
          <w:szCs w:val="21"/>
        </w:rPr>
        <w:t xml:space="preserve">  本规定自公布之日起施行，原《东华大学成人高等教育学籍管理规定》（东华继教〔2019〕1号）同时废止。其他未尽事宜，按照上位文及国家法律法规执行。</w:t>
      </w:r>
    </w:p>
    <w:p>
      <w:pPr>
        <w:widowControl/>
        <w:snapToGrid w:val="0"/>
        <w:spacing w:beforeLines="0" w:afterLines="0"/>
        <w:ind w:firstLine="422" w:firstLineChars="200"/>
        <w:jc w:val="left"/>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第四十三条  </w:t>
      </w:r>
      <w:r>
        <w:rPr>
          <w:rFonts w:hint="eastAsia" w:ascii="宋体" w:hAnsi="宋体" w:eastAsia="宋体" w:cs="宋体"/>
          <w:color w:val="auto"/>
          <w:sz w:val="21"/>
          <w:szCs w:val="21"/>
        </w:rPr>
        <w:t>现代远程教育学生管理按照《东华大学现代远程教育学籍管理规定》（东华继教〔2021〕3号）执行，不适用本规定。</w:t>
      </w:r>
    </w:p>
    <w:p>
      <w:pPr>
        <w:widowControl/>
        <w:snapToGrid w:val="0"/>
        <w:spacing w:beforeLines="0" w:afterLines="0"/>
        <w:ind w:firstLine="422" w:firstLineChars="200"/>
        <w:jc w:val="left"/>
        <w:rPr>
          <w:rFonts w:hint="eastAsia" w:ascii="宋体" w:hAnsi="宋体" w:eastAsia="宋体" w:cs="宋体"/>
          <w:color w:val="auto"/>
          <w:szCs w:val="21"/>
        </w:rPr>
      </w:pPr>
      <w:r>
        <w:rPr>
          <w:rFonts w:hint="eastAsia" w:ascii="宋体" w:hAnsi="宋体" w:eastAsia="宋体" w:cs="宋体"/>
          <w:b/>
          <w:bCs/>
          <w:color w:val="auto"/>
          <w:sz w:val="21"/>
          <w:szCs w:val="21"/>
        </w:rPr>
        <w:t xml:space="preserve">第四十四条  </w:t>
      </w:r>
      <w:r>
        <w:rPr>
          <w:rFonts w:hint="eastAsia" w:ascii="宋体" w:hAnsi="宋体" w:eastAsia="宋体" w:cs="宋体"/>
          <w:color w:val="auto"/>
          <w:szCs w:val="21"/>
        </w:rPr>
        <w:t>本规定由校长办公会议负责解释，具体工作由继续教育学院承担。</w:t>
      </w:r>
      <w:bookmarkStart w:id="32" w:name="_Hlt253059555"/>
      <w:bookmarkEnd w:id="32"/>
      <w:bookmarkStart w:id="33" w:name="_Hlt253439671"/>
      <w:bookmarkEnd w:id="33"/>
      <w:bookmarkStart w:id="34" w:name="_Hlt253058319"/>
      <w:bookmarkEnd w:id="34"/>
      <w:bookmarkStart w:id="35" w:name="_Hlt253441727"/>
      <w:bookmarkEnd w:id="35"/>
      <w:bookmarkStart w:id="36" w:name="_Hlt253058104"/>
      <w:bookmarkEnd w:id="36"/>
      <w:bookmarkStart w:id="37" w:name="_Hlt253058092"/>
      <w:bookmarkEnd w:id="37"/>
      <w:bookmarkStart w:id="38" w:name="文尾"/>
      <w:bookmarkEnd w:id="38"/>
      <w:bookmarkStart w:id="39" w:name="图章"/>
      <w:bookmarkEnd w:id="39"/>
    </w:p>
    <w:p>
      <w:pPr>
        <w:pStyle w:val="2"/>
        <w:spacing w:before="0" w:after="0"/>
        <w:outlineLvl w:val="0"/>
        <w:rPr>
          <w:rFonts w:hint="default" w:ascii="Cambria" w:hAnsi="Cambria" w:cs="Times New Roman"/>
          <w:b/>
          <w:bCs/>
          <w:color w:val="auto"/>
          <w:kern w:val="2"/>
          <w:sz w:val="32"/>
          <w:szCs w:val="32"/>
          <w:lang w:val="en-US" w:eastAsia="zh-CN" w:bidi="ar-SA"/>
        </w:rPr>
      </w:pPr>
      <w:bookmarkStart w:id="40" w:name="_Toc17662"/>
      <w:bookmarkStart w:id="41" w:name="_Toc15249"/>
      <w:r>
        <w:rPr>
          <w:rFonts w:hint="eastAsia" w:cs="Times New Roman"/>
          <w:b/>
          <w:bCs/>
          <w:color w:val="auto"/>
          <w:kern w:val="2"/>
          <w:szCs w:val="32"/>
          <w:lang w:val="en-US" w:eastAsia="zh-CN" w:bidi="ar-SA"/>
        </w:rPr>
        <w:br w:type="page"/>
      </w:r>
      <w:bookmarkStart w:id="42" w:name="_Toc1839"/>
      <w:bookmarkStart w:id="43" w:name="_Toc8004"/>
      <w:r>
        <w:rPr>
          <w:rFonts w:hint="default" w:ascii="Cambria" w:hAnsi="Cambria" w:cs="Times New Roman"/>
          <w:b/>
          <w:bCs/>
          <w:color w:val="auto"/>
          <w:kern w:val="2"/>
          <w:sz w:val="32"/>
          <w:szCs w:val="32"/>
          <w:lang w:val="en-US" w:eastAsia="zh-CN" w:bidi="ar-SA"/>
        </w:rPr>
        <w:t>东华大学高等学历继续教育</w:t>
      </w:r>
      <w:bookmarkEnd w:id="40"/>
      <w:bookmarkEnd w:id="41"/>
      <w:bookmarkEnd w:id="42"/>
      <w:bookmarkStart w:id="44" w:name="_Toc20618"/>
      <w:bookmarkStart w:id="45" w:name="_Toc16912"/>
      <w:bookmarkStart w:id="46" w:name="_Toc19246"/>
      <w:r>
        <w:rPr>
          <w:rFonts w:hint="default" w:ascii="Cambria" w:hAnsi="Cambria" w:cs="Times New Roman"/>
          <w:b/>
          <w:bCs/>
          <w:color w:val="auto"/>
          <w:kern w:val="2"/>
          <w:sz w:val="32"/>
          <w:szCs w:val="32"/>
          <w:lang w:val="en-US" w:eastAsia="zh-CN" w:bidi="ar-SA"/>
        </w:rPr>
        <w:t>本科毕业生</w:t>
      </w:r>
      <w:bookmarkEnd w:id="43"/>
      <w:bookmarkEnd w:id="44"/>
    </w:p>
    <w:p>
      <w:pPr>
        <w:pStyle w:val="2"/>
        <w:spacing w:before="0" w:after="0"/>
        <w:outlineLvl w:val="0"/>
        <w:rPr>
          <w:rFonts w:hint="eastAsia" w:ascii="Cambria" w:hAnsi="Cambria" w:eastAsia="宋体" w:cs="Times New Roman"/>
          <w:b/>
          <w:bCs/>
          <w:color w:val="auto"/>
          <w:kern w:val="2"/>
          <w:sz w:val="32"/>
          <w:szCs w:val="32"/>
          <w:lang w:val="en-US" w:eastAsia="zh-CN" w:bidi="ar-SA"/>
        </w:rPr>
      </w:pPr>
      <w:bookmarkStart w:id="47" w:name="_Toc3129"/>
      <w:bookmarkStart w:id="48" w:name="_Toc27732"/>
      <w:r>
        <w:rPr>
          <w:rFonts w:hint="default" w:ascii="Cambria" w:hAnsi="Cambria" w:cs="Times New Roman"/>
          <w:b/>
          <w:bCs/>
          <w:color w:val="auto"/>
          <w:kern w:val="2"/>
          <w:sz w:val="32"/>
          <w:szCs w:val="32"/>
          <w:lang w:val="en-US" w:eastAsia="zh-CN" w:bidi="ar-SA"/>
        </w:rPr>
        <w:t>申请授予学士学位实施细则</w:t>
      </w:r>
      <w:bookmarkEnd w:id="45"/>
      <w:bookmarkEnd w:id="46"/>
      <w:bookmarkEnd w:id="47"/>
      <w:bookmarkEnd w:id="48"/>
    </w:p>
    <w:p>
      <w:pPr>
        <w:rPr>
          <w:rFonts w:hint="default" w:cs="Times New Roman"/>
          <w:b w:val="0"/>
          <w:bCs w:val="0"/>
          <w:color w:val="2A2A2A"/>
          <w:kern w:val="2"/>
          <w:sz w:val="21"/>
          <w:szCs w:val="20"/>
          <w:lang w:val="en-US" w:eastAsia="zh-CN" w:bidi="ar-SA"/>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1"/>
          <w:szCs w:val="21"/>
        </w:rPr>
        <w:t xml:space="preserve">   根据《中华人民共和国学位条例》、《中华人民共和国学位条例暂行实施办法》、《国务院学位委员会关于授予成人高等教育本科毕业生学士学位暂行规定》、《国务院学位委员会关于印发</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学士学位授权与授予管理办法</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的通知》，以及《东华大学学位授予工作实施细则》等文件精神，制订本实施细则。</w:t>
      </w:r>
    </w:p>
    <w:p>
      <w:pPr>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一、申请条件</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1、拥护中国共产党的领导，拥护社会主义制度，拥护党的教育方针，愿意为新时代中国特色社会主义事业服务，遵纪守法，品行端正。</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2、学生在学校规定的学习年限内修满教学计划规定的学分，并达到毕业要求。</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3、主修专业所有课程（除毕业论文外）平均成绩不低于75分，指定的学位课程每门成绩不低于70分。</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4、完成毕业论文（毕业设计）并通过答辩，成绩合格。</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5、 学位外语要求：</w:t>
      </w:r>
    </w:p>
    <w:p>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（1）全国大学英语四级考试成绩达到420分（按现行总分计）；或全国英语等级考试3级</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PETS-3</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笔试成绩合格；或在读期间通过学校组织的学位英语考试。若成人高等教育入学考试报名语种为非英语小语种，可采用全国大学小语种（与入学考试语种相同）四级考试成绩，达到420分（按现行总分计）。</w:t>
      </w:r>
    </w:p>
    <w:p>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（2）证书或成绩从参加考试之日至学士学位申请起始日期止四年内有效。</w:t>
      </w:r>
    </w:p>
    <w:p>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（3）毕业后再参加的外语考试成绩不作为申报学位的依据。</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6、 凡有以下情况之一者，不能申请授予学位：</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（1） 在校学习期间，受过违纪处分且处分未</w:t>
      </w:r>
      <w:r>
        <w:rPr>
          <w:rFonts w:hint="eastAsia" w:ascii="宋体" w:hAnsi="宋体" w:eastAsia="宋体" w:cs="宋体"/>
          <w:color w:val="auto"/>
          <w:kern w:val="0"/>
          <w:sz w:val="21"/>
          <w:szCs w:val="21"/>
          <w:lang w:eastAsia="zh-CN"/>
        </w:rPr>
        <w:t>解除</w:t>
      </w:r>
      <w:r>
        <w:rPr>
          <w:rFonts w:hint="eastAsia" w:ascii="宋体" w:hAnsi="宋体" w:eastAsia="宋体" w:cs="宋体"/>
          <w:color w:val="auto"/>
          <w:kern w:val="0"/>
          <w:sz w:val="21"/>
          <w:szCs w:val="21"/>
        </w:rPr>
        <w:t>者；</w:t>
      </w:r>
    </w:p>
    <w:p>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（2） 因其他情形经校学位评定委员会审查认定不授予学位者。</w:t>
      </w:r>
    </w:p>
    <w:p>
      <w:pPr>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二、申请、审核、授予程序</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1、 符合学位申请条件的学生，在规定时间内可向继续教育学院提出学位申请，本人应填写《东华大学继续教育学院学士学位申请表》，交至学院后方可受理。受理时间为该生毕业前1个月内，逾期不再受理。</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2、继续教育学院根据申报条件，对学生的学位申请进行逐一审核，提出拟授予学士学位学生名单，报相关专业学院学位评定分委员会审议通过后，上报校学位评定委员会。</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3、经校学位评定委员会审核批准者，授予学士学位。</w:t>
      </w:r>
    </w:p>
    <w:p>
      <w:pPr>
        <w:spacing w:line="360" w:lineRule="auto"/>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三、附则</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1、学位授予工作要坚持标准，保证质量。如发现学位申请者或有关部门在申请和审核过程中营私舞弊、弄虚作假，均予以严肃处理。</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2、本实施细则由学校校长办公会负责解释，具体工作由继续教育学院承担。</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3、成人教育2022级、网络教育2022春及之后批次学生按照本实施细则执行，成人教育2021级、网络教育2021秋及之前批次学生按照《东华大学成人高等教育本科毕业生申请授予学士学位实施细则》（2014版）执行。</w:t>
      </w:r>
    </w:p>
    <w:p>
      <w:p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4、本细则有关条款若与国家有关规定和要求不一致时，以国家规定和</w:t>
      </w:r>
      <w:r>
        <w:rPr>
          <w:rFonts w:hint="eastAsia" w:ascii="宋体" w:hAnsi="宋体" w:eastAsia="宋体" w:cs="宋体"/>
          <w:color w:val="auto"/>
          <w:kern w:val="0"/>
          <w:sz w:val="21"/>
          <w:szCs w:val="21"/>
          <w:lang w:val="en-US" w:eastAsia="zh-CN"/>
        </w:rPr>
        <w:t>要求为准。</w:t>
      </w:r>
    </w:p>
    <w:p>
      <w:pPr>
        <w:rPr>
          <w:rFonts w:hint="eastAsia" w:ascii="Cambria" w:hAnsi="Cambria" w:eastAsia="宋体" w:cs="Times New Roman"/>
          <w:b/>
          <w:bCs/>
          <w:color w:val="auto"/>
          <w:kern w:val="2"/>
          <w:sz w:val="21"/>
          <w:szCs w:val="21"/>
          <w:lang w:val="en-US" w:eastAsia="zh-CN" w:bidi="ar-SA"/>
        </w:rPr>
      </w:pPr>
    </w:p>
    <w:p>
      <w:pPr>
        <w:rPr>
          <w:rFonts w:hint="eastAsia" w:ascii="Cambria" w:hAnsi="Cambria" w:eastAsia="宋体" w:cs="Times New Roman"/>
          <w:b/>
          <w:bCs/>
          <w:color w:val="auto"/>
          <w:kern w:val="2"/>
          <w:sz w:val="32"/>
          <w:szCs w:val="32"/>
          <w:lang w:val="en-US" w:eastAsia="zh-CN" w:bidi="ar-SA"/>
        </w:rPr>
      </w:pPr>
    </w:p>
    <w:p>
      <w:pPr>
        <w:rPr>
          <w:rFonts w:hint="eastAsia" w:ascii="Cambria" w:hAnsi="Cambria" w:eastAsia="宋体" w:cs="Times New Roman"/>
          <w:b/>
          <w:bCs/>
          <w:color w:val="auto"/>
          <w:kern w:val="2"/>
          <w:sz w:val="32"/>
          <w:szCs w:val="32"/>
          <w:lang w:val="en-US" w:eastAsia="zh-CN" w:bidi="ar-SA"/>
        </w:rPr>
      </w:pPr>
    </w:p>
    <w:p>
      <w:pPr>
        <w:spacing w:line="360" w:lineRule="auto"/>
        <w:ind w:left="420"/>
        <w:jc w:val="left"/>
        <w:rPr>
          <w:rFonts w:hint="eastAsia" w:ascii="宋体" w:hAnsi="宋体"/>
          <w:color w:val="auto"/>
          <w:sz w:val="21"/>
          <w:szCs w:val="21"/>
        </w:rPr>
      </w:pPr>
    </w:p>
    <w:p>
      <w:pPr>
        <w:spacing w:line="360" w:lineRule="auto"/>
        <w:ind w:left="420"/>
        <w:jc w:val="left"/>
        <w:rPr>
          <w:rFonts w:hint="eastAsia" w:ascii="宋体" w:hAnsi="宋体"/>
          <w:color w:val="auto"/>
          <w:sz w:val="21"/>
          <w:szCs w:val="21"/>
        </w:rPr>
      </w:pPr>
    </w:p>
    <w:p>
      <w:pPr>
        <w:spacing w:line="360" w:lineRule="auto"/>
        <w:ind w:left="420"/>
        <w:jc w:val="left"/>
        <w:rPr>
          <w:rFonts w:hint="eastAsia" w:ascii="宋体" w:hAnsi="宋体"/>
          <w:color w:val="auto"/>
          <w:sz w:val="21"/>
          <w:szCs w:val="21"/>
        </w:rPr>
      </w:pPr>
    </w:p>
    <w:p>
      <w:pPr>
        <w:spacing w:line="360" w:lineRule="auto"/>
        <w:ind w:left="420"/>
        <w:jc w:val="left"/>
        <w:rPr>
          <w:rFonts w:hint="eastAsia" w:ascii="宋体" w:hAnsi="宋体"/>
          <w:color w:val="auto"/>
          <w:sz w:val="21"/>
          <w:szCs w:val="21"/>
        </w:rPr>
      </w:pPr>
    </w:p>
    <w:p>
      <w:pPr>
        <w:spacing w:line="360" w:lineRule="auto"/>
        <w:ind w:left="420"/>
        <w:jc w:val="left"/>
        <w:rPr>
          <w:rFonts w:hint="eastAsia" w:ascii="宋体" w:hAnsi="宋体"/>
          <w:color w:val="auto"/>
          <w:sz w:val="21"/>
          <w:szCs w:val="21"/>
        </w:rPr>
      </w:pPr>
    </w:p>
    <w:p>
      <w:pPr>
        <w:spacing w:line="360" w:lineRule="auto"/>
        <w:ind w:left="420"/>
        <w:jc w:val="left"/>
        <w:rPr>
          <w:rFonts w:hint="eastAsia" w:ascii="宋体" w:hAnsi="宋体"/>
          <w:color w:val="auto"/>
          <w:sz w:val="21"/>
          <w:szCs w:val="21"/>
        </w:rPr>
      </w:pPr>
    </w:p>
    <w:p>
      <w:pPr>
        <w:spacing w:line="360" w:lineRule="auto"/>
        <w:ind w:left="420"/>
        <w:jc w:val="left"/>
        <w:rPr>
          <w:rFonts w:hint="eastAsia" w:ascii="宋体" w:hAnsi="宋体"/>
          <w:color w:val="auto"/>
          <w:sz w:val="21"/>
          <w:szCs w:val="21"/>
        </w:rPr>
      </w:pPr>
    </w:p>
    <w:p>
      <w:pPr>
        <w:spacing w:line="360" w:lineRule="auto"/>
        <w:ind w:left="420"/>
        <w:jc w:val="left"/>
        <w:rPr>
          <w:rFonts w:hint="eastAsia" w:ascii="宋体" w:hAnsi="宋体"/>
          <w:color w:val="auto"/>
          <w:sz w:val="21"/>
          <w:szCs w:val="21"/>
        </w:rPr>
      </w:pPr>
    </w:p>
    <w:p>
      <w:pPr>
        <w:pStyle w:val="2"/>
        <w:spacing w:before="0" w:after="0" w:line="360" w:lineRule="auto"/>
        <w:outlineLvl w:val="0"/>
        <w:rPr>
          <w:rFonts w:hint="eastAsia" w:ascii="Cambria" w:hAnsi="Cambria" w:eastAsia="宋体" w:cs="Times New Roman"/>
          <w:b/>
          <w:bCs/>
          <w:color w:val="auto"/>
          <w:kern w:val="2"/>
          <w:sz w:val="32"/>
          <w:szCs w:val="32"/>
          <w:lang w:val="en-US" w:eastAsia="zh-CN" w:bidi="ar-SA"/>
        </w:rPr>
      </w:pPr>
      <w:bookmarkStart w:id="49" w:name="_Toc3585"/>
      <w:bookmarkStart w:id="50" w:name="_Toc23992"/>
      <w:r>
        <w:rPr>
          <w:rFonts w:hint="eastAsia" w:ascii="Cambria" w:hAnsi="Cambria" w:eastAsia="宋体" w:cs="Times New Roman"/>
          <w:b/>
          <w:bCs/>
          <w:color w:val="auto"/>
          <w:kern w:val="2"/>
          <w:sz w:val="32"/>
          <w:szCs w:val="32"/>
          <w:lang w:val="en-US" w:eastAsia="zh-CN" w:bidi="ar-SA"/>
        </w:rPr>
        <w:br w:type="page"/>
      </w:r>
      <w:bookmarkStart w:id="51" w:name="_Toc30681"/>
      <w:bookmarkStart w:id="52" w:name="_Toc16830"/>
      <w:r>
        <w:rPr>
          <w:rFonts w:hint="eastAsia" w:ascii="Cambria" w:hAnsi="Cambria" w:eastAsia="宋体" w:cs="Times New Roman"/>
          <w:b/>
          <w:bCs/>
          <w:color w:val="auto"/>
          <w:kern w:val="2"/>
          <w:sz w:val="32"/>
          <w:szCs w:val="32"/>
          <w:lang w:val="en-US" w:eastAsia="zh-CN" w:bidi="ar-SA"/>
        </w:rPr>
        <w:t>东华大学学历继续教育学生违纪处分规定</w:t>
      </w:r>
      <w:bookmarkEnd w:id="49"/>
      <w:bookmarkEnd w:id="50"/>
      <w:bookmarkEnd w:id="51"/>
      <w:bookmarkEnd w:id="52"/>
    </w:p>
    <w:p>
      <w:pPr>
        <w:spacing w:beforeLines="0" w:afterLines="0"/>
        <w:rPr>
          <w:rFonts w:hint="default" w:ascii="Calibri" w:hAnsi="Calibri" w:eastAsia="宋体" w:cs="Times New Roman"/>
          <w:b w:val="0"/>
          <w:bCs w:val="0"/>
          <w:color w:val="2A2A2A"/>
          <w:kern w:val="2"/>
          <w:sz w:val="21"/>
          <w:szCs w:val="20"/>
          <w:lang w:val="en-US" w:eastAsia="zh-CN" w:bidi="ar-SA"/>
        </w:rPr>
      </w:pPr>
    </w:p>
    <w:p>
      <w:pPr>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9"/>
        <w:rPr>
          <w:rFonts w:ascii="宋体" w:hAnsi="宋体" w:eastAsia="宋体" w:cs="宋体"/>
          <w:b/>
          <w:bCs/>
          <w:color w:val="auto"/>
          <w:kern w:val="0"/>
          <w:sz w:val="28"/>
          <w:szCs w:val="28"/>
          <w:highlight w:val="none"/>
          <w:shd w:val="clear" w:color="auto" w:fill="FFFFFF"/>
        </w:rPr>
      </w:pPr>
      <w:r>
        <w:rPr>
          <w:rFonts w:hint="eastAsia" w:ascii="宋体" w:hAnsi="宋体" w:eastAsia="宋体" w:cs="宋体"/>
          <w:b/>
          <w:bCs/>
          <w:color w:val="auto"/>
          <w:kern w:val="0"/>
          <w:sz w:val="28"/>
          <w:szCs w:val="28"/>
          <w:highlight w:val="none"/>
          <w:shd w:val="clear" w:color="auto" w:fill="FFFFFF"/>
        </w:rPr>
        <w:t>第一章 总则</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hint="eastAsia" w:ascii="宋体" w:hAnsi="宋体" w:eastAsia="宋体" w:cs="宋体"/>
          <w:color w:val="auto"/>
          <w:kern w:val="0"/>
          <w:sz w:val="21"/>
          <w:szCs w:val="21"/>
          <w:highlight w:val="none"/>
          <w:shd w:val="clear" w:color="auto" w:fill="FFFFFF"/>
          <w:lang w:eastAsia="zh-CN"/>
        </w:rPr>
      </w:pPr>
      <w:r>
        <w:rPr>
          <w:rFonts w:hint="eastAsia" w:ascii="宋体" w:hAnsi="宋体" w:eastAsia="宋体" w:cs="宋体"/>
          <w:b/>
          <w:bCs/>
          <w:color w:val="auto"/>
          <w:kern w:val="0"/>
          <w:sz w:val="21"/>
          <w:szCs w:val="21"/>
          <w:highlight w:val="none"/>
          <w:shd w:val="clear" w:color="auto" w:fill="FFFFFF"/>
        </w:rPr>
        <w:t>第一条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hint="eastAsia" w:ascii="宋体" w:hAnsi="宋体" w:eastAsia="宋体" w:cs="宋体"/>
          <w:color w:val="auto"/>
          <w:kern w:val="0"/>
          <w:sz w:val="21"/>
          <w:szCs w:val="21"/>
          <w:highlight w:val="none"/>
          <w:shd w:val="clear" w:color="auto" w:fill="FFFFFF"/>
        </w:rPr>
        <w:t>为规范学生管理行为，维护学校正常的教育教学秩序和生活秩序，保障学生合法权益，培养德、智、体、美</w:t>
      </w:r>
      <w:r>
        <w:rPr>
          <w:rFonts w:hint="eastAsia" w:ascii="宋体" w:hAnsi="宋体" w:eastAsia="宋体" w:cs="宋体"/>
          <w:color w:val="auto"/>
          <w:kern w:val="0"/>
          <w:sz w:val="21"/>
          <w:szCs w:val="21"/>
          <w:highlight w:val="none"/>
          <w:shd w:val="clear" w:color="auto" w:fill="FFFFFF"/>
          <w:lang w:eastAsia="zh-CN"/>
        </w:rPr>
        <w:t>、劳</w:t>
      </w:r>
      <w:r>
        <w:rPr>
          <w:rFonts w:hint="eastAsia" w:ascii="宋体" w:hAnsi="宋体" w:eastAsia="宋体" w:cs="宋体"/>
          <w:color w:val="auto"/>
          <w:kern w:val="0"/>
          <w:sz w:val="21"/>
          <w:szCs w:val="21"/>
          <w:highlight w:val="none"/>
          <w:shd w:val="clear" w:color="auto" w:fill="FFFFFF"/>
        </w:rPr>
        <w:t>全面发展的社会主义建设者和接班人，依据《普通高等学校学生管理规定》、《东华大学章程》和《东华大学学生违纪处分规定》等文件，结合继续教育、现代远程教育的实际，制定本规定。</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第二条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hint="eastAsia" w:ascii="宋体" w:hAnsi="宋体" w:eastAsia="宋体" w:cs="宋体"/>
          <w:color w:val="auto"/>
          <w:kern w:val="0"/>
          <w:sz w:val="21"/>
          <w:szCs w:val="21"/>
          <w:highlight w:val="none"/>
          <w:shd w:val="clear" w:color="auto" w:fill="FFFFFF"/>
        </w:rPr>
        <w:t>坚持教育与惩戒相结合，教育和引导学生承担应尽的义务和责任。</w:t>
      </w:r>
      <w:r>
        <w:rPr>
          <w:rFonts w:ascii="宋体" w:hAnsi="宋体" w:eastAsia="宋体" w:cs="宋体"/>
          <w:color w:val="auto"/>
          <w:kern w:val="0"/>
          <w:sz w:val="21"/>
          <w:szCs w:val="21"/>
          <w:highlight w:val="none"/>
          <w:shd w:val="clear" w:color="auto" w:fill="FFFFFF"/>
        </w:rPr>
        <w:t>给予学生的处分，应当与学生违法、违纪行为的性质和过错的严重程度相适应，</w:t>
      </w:r>
      <w:r>
        <w:rPr>
          <w:rFonts w:hint="eastAsia" w:ascii="宋体" w:hAnsi="宋体" w:eastAsia="宋体" w:cs="宋体"/>
          <w:color w:val="auto"/>
          <w:kern w:val="0"/>
          <w:sz w:val="21"/>
          <w:szCs w:val="21"/>
          <w:highlight w:val="none"/>
          <w:shd w:val="clear" w:color="auto" w:fill="FFFFFF"/>
        </w:rPr>
        <w:t>应当做到证据充分、依据明确、定性准确、程序正当、处分适当。学生有权按规定程序，进行陈述、申辩和申诉。解除处分后，学生获得表彰、奖励及其他权益，不再受原处分的影响。</w:t>
      </w:r>
    </w:p>
    <w:p>
      <w:pPr>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9"/>
        <w:rPr>
          <w:rFonts w:hint="eastAsia" w:ascii="宋体" w:hAnsi="宋体" w:eastAsia="宋体" w:cs="宋体"/>
          <w:b/>
          <w:bCs/>
          <w:color w:val="auto"/>
          <w:kern w:val="0"/>
          <w:sz w:val="28"/>
          <w:szCs w:val="28"/>
          <w:highlight w:val="none"/>
          <w:shd w:val="clear" w:color="auto" w:fill="FFFFFF"/>
        </w:rPr>
      </w:pPr>
      <w:r>
        <w:rPr>
          <w:rFonts w:hint="eastAsia" w:ascii="宋体" w:hAnsi="宋体" w:eastAsia="宋体" w:cs="宋体"/>
          <w:b/>
          <w:bCs/>
          <w:color w:val="auto"/>
          <w:kern w:val="0"/>
          <w:sz w:val="28"/>
          <w:szCs w:val="28"/>
          <w:highlight w:val="none"/>
          <w:shd w:val="clear" w:color="auto" w:fill="FFFFFF"/>
        </w:rPr>
        <w:t>第二章  处分种类和运用</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hint="eastAsia" w:ascii="宋体" w:hAnsi="宋体" w:eastAsia="宋体" w:cs="宋体"/>
          <w:color w:val="auto"/>
          <w:kern w:val="0"/>
          <w:sz w:val="21"/>
          <w:szCs w:val="21"/>
          <w:highlight w:val="none"/>
          <w:shd w:val="clear" w:color="auto" w:fill="FFFFFF"/>
          <w:lang w:eastAsia="zh-CN"/>
        </w:rPr>
      </w:pPr>
      <w:r>
        <w:rPr>
          <w:rFonts w:hint="eastAsia" w:ascii="宋体" w:hAnsi="宋体" w:eastAsia="宋体" w:cs="宋体"/>
          <w:b/>
          <w:bCs/>
          <w:color w:val="auto"/>
          <w:kern w:val="0"/>
          <w:sz w:val="21"/>
          <w:szCs w:val="21"/>
          <w:highlight w:val="none"/>
          <w:shd w:val="clear" w:color="auto" w:fill="FFFFFF"/>
        </w:rPr>
        <w:t>第</w:t>
      </w:r>
      <w:r>
        <w:rPr>
          <w:rFonts w:hint="eastAsia" w:ascii="宋体" w:hAnsi="宋体" w:eastAsia="宋体" w:cs="宋体"/>
          <w:b/>
          <w:bCs/>
          <w:color w:val="auto"/>
          <w:kern w:val="0"/>
          <w:sz w:val="21"/>
          <w:szCs w:val="21"/>
          <w:highlight w:val="none"/>
          <w:shd w:val="clear" w:color="auto" w:fill="FFFFFF"/>
          <w:lang w:eastAsia="zh-CN"/>
        </w:rPr>
        <w:t>三</w:t>
      </w:r>
      <w:r>
        <w:rPr>
          <w:rFonts w:hint="eastAsia" w:ascii="宋体" w:hAnsi="宋体" w:eastAsia="宋体" w:cs="宋体"/>
          <w:b/>
          <w:bCs/>
          <w:color w:val="auto"/>
          <w:kern w:val="0"/>
          <w:sz w:val="21"/>
          <w:szCs w:val="21"/>
          <w:highlight w:val="none"/>
          <w:shd w:val="clear" w:color="auto" w:fill="FFFFFF"/>
        </w:rPr>
        <w:t>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hint="eastAsia" w:ascii="宋体" w:hAnsi="宋体" w:eastAsia="宋体" w:cs="宋体"/>
          <w:color w:val="auto"/>
          <w:kern w:val="0"/>
          <w:sz w:val="21"/>
          <w:szCs w:val="21"/>
          <w:highlight w:val="none"/>
          <w:shd w:val="clear" w:color="auto" w:fill="FFFFFF"/>
        </w:rPr>
        <w:t>对有违纪行为的学生，学校视其违纪行为的性质和过错的严重程度，给予批评教育或者纪律处分。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w:t>
      </w:r>
      <w:r>
        <w:rPr>
          <w:rFonts w:hint="eastAsia" w:ascii="宋体" w:hAnsi="宋体" w:eastAsia="宋体" w:cs="宋体"/>
          <w:b/>
          <w:bCs/>
          <w:color w:val="auto"/>
          <w:kern w:val="0"/>
          <w:sz w:val="21"/>
          <w:szCs w:val="21"/>
          <w:highlight w:val="none"/>
          <w:shd w:val="clear" w:color="auto" w:fill="FFFFFF"/>
          <w:lang w:eastAsia="zh-CN"/>
        </w:rPr>
        <w:t>四</w:t>
      </w:r>
      <w:r>
        <w:rPr>
          <w:rFonts w:hint="eastAsia" w:ascii="宋体" w:hAnsi="宋体" w:eastAsia="宋体" w:cs="宋体"/>
          <w:b/>
          <w:bCs/>
          <w:color w:val="auto"/>
          <w:kern w:val="0"/>
          <w:sz w:val="21"/>
          <w:szCs w:val="21"/>
          <w:highlight w:val="none"/>
          <w:shd w:val="clear" w:color="auto" w:fill="FFFFFF"/>
        </w:rPr>
        <w:t>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hint="eastAsia" w:ascii="宋体" w:hAnsi="宋体" w:eastAsia="宋体" w:cs="宋体"/>
          <w:color w:val="auto"/>
          <w:kern w:val="0"/>
          <w:sz w:val="21"/>
          <w:szCs w:val="21"/>
          <w:highlight w:val="none"/>
          <w:shd w:val="clear" w:color="auto" w:fill="FFFFFF"/>
        </w:rPr>
        <w:t>批评教育包括口头批评、书面警示和通报批评等教育方式；纪律处分的种类，</w:t>
      </w:r>
      <w:r>
        <w:rPr>
          <w:rFonts w:ascii="宋体" w:hAnsi="宋体" w:eastAsia="宋体" w:cs="宋体"/>
          <w:color w:val="auto"/>
          <w:kern w:val="0"/>
          <w:sz w:val="21"/>
          <w:szCs w:val="21"/>
          <w:highlight w:val="none"/>
          <w:shd w:val="clear" w:color="auto" w:fill="FFFFFF"/>
        </w:rPr>
        <w:t>由轻至重依次为</w:t>
      </w:r>
      <w:r>
        <w:rPr>
          <w:rFonts w:hint="eastAsia" w:ascii="宋体" w:hAnsi="宋体" w:eastAsia="宋体" w:cs="宋体"/>
          <w:color w:val="auto"/>
          <w:kern w:val="0"/>
          <w:sz w:val="21"/>
          <w:szCs w:val="21"/>
          <w:highlight w:val="none"/>
          <w:shd w:val="clear" w:color="auto" w:fill="FFFFFF"/>
        </w:rPr>
        <w:t>：警告、严重警告、记过、留校察看、开除学籍。</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w:t>
      </w:r>
      <w:r>
        <w:rPr>
          <w:rFonts w:hint="eastAsia" w:ascii="宋体" w:hAnsi="宋体" w:eastAsia="宋体" w:cs="宋体"/>
          <w:b/>
          <w:bCs/>
          <w:color w:val="auto"/>
          <w:kern w:val="0"/>
          <w:sz w:val="21"/>
          <w:szCs w:val="21"/>
          <w:highlight w:val="none"/>
          <w:shd w:val="clear" w:color="auto" w:fill="FFFFFF"/>
          <w:lang w:eastAsia="zh-CN"/>
        </w:rPr>
        <w:t>五</w:t>
      </w:r>
      <w:r>
        <w:rPr>
          <w:rFonts w:hint="eastAsia" w:ascii="宋体" w:hAnsi="宋体" w:eastAsia="宋体" w:cs="宋体"/>
          <w:b/>
          <w:bCs/>
          <w:color w:val="auto"/>
          <w:kern w:val="0"/>
          <w:sz w:val="21"/>
          <w:szCs w:val="21"/>
          <w:highlight w:val="none"/>
          <w:shd w:val="clear" w:color="auto" w:fill="FFFFFF"/>
        </w:rPr>
        <w:t>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ascii="宋体" w:hAnsi="宋体" w:eastAsia="宋体" w:cs="宋体"/>
          <w:color w:val="auto"/>
          <w:kern w:val="0"/>
          <w:sz w:val="21"/>
          <w:szCs w:val="21"/>
          <w:highlight w:val="none"/>
          <w:shd w:val="clear" w:color="auto" w:fill="FFFFFF"/>
        </w:rPr>
        <w:t>除开除学籍处分以外，给予违纪学生处分设置处分期限，警告、严重警告处分期限一般为9个月，记过和留校察看处分期限一般为12个月，处分期限从做出处分决定之日计算。受处分的毕业班违纪学生，其处分期限可减至毕业日止。</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b/>
          <w:bCs/>
          <w:color w:val="auto"/>
          <w:kern w:val="0"/>
          <w:sz w:val="21"/>
          <w:szCs w:val="21"/>
          <w:highlight w:val="none"/>
          <w:shd w:val="clear" w:color="auto" w:fill="FFFFFF"/>
        </w:rPr>
        <w:t>第六条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ascii="宋体" w:hAnsi="宋体" w:eastAsia="宋体" w:cs="宋体"/>
          <w:color w:val="auto"/>
          <w:kern w:val="0"/>
          <w:sz w:val="21"/>
          <w:szCs w:val="21"/>
          <w:highlight w:val="none"/>
          <w:shd w:val="clear" w:color="auto" w:fill="FFFFFF"/>
        </w:rPr>
        <w:t>留校察看处分的察看期为12个月，留校察看处分的察看期与处分期限同步计算。受留校察看处分的毕业班违纪学生，其察看期可减至毕业日止。</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hint="eastAsia" w:ascii="宋体" w:hAnsi="宋体" w:eastAsia="宋体" w:cs="宋体"/>
          <w:color w:val="auto"/>
          <w:kern w:val="0"/>
          <w:sz w:val="21"/>
          <w:szCs w:val="21"/>
          <w:highlight w:val="none"/>
          <w:shd w:val="clear" w:color="auto" w:fill="FFFFFF"/>
          <w:lang w:eastAsia="zh-CN"/>
        </w:rPr>
      </w:pPr>
      <w:r>
        <w:rPr>
          <w:rFonts w:hint="eastAsia" w:ascii="宋体" w:hAnsi="宋体" w:eastAsia="宋体" w:cs="宋体"/>
          <w:b/>
          <w:bCs/>
          <w:color w:val="auto"/>
          <w:kern w:val="0"/>
          <w:sz w:val="21"/>
          <w:szCs w:val="21"/>
          <w:highlight w:val="none"/>
          <w:shd w:val="clear" w:color="auto" w:fill="FFFFFF"/>
        </w:rPr>
        <w:t>第七条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ascii="宋体" w:hAnsi="宋体" w:eastAsia="宋体" w:cs="宋体"/>
          <w:color w:val="auto"/>
          <w:kern w:val="0"/>
          <w:sz w:val="21"/>
          <w:szCs w:val="21"/>
          <w:highlight w:val="none"/>
          <w:shd w:val="clear" w:color="auto" w:fill="FFFFFF"/>
        </w:rPr>
        <w:t>在作出处分决定之前，学生同时有2个以上违纪行为的，应当分别确定对应的处分级别，酌情给予学生纪律处分。处分级别相同的，按该级别处分；处分级别不同的，按其中最重的处分。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第八条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hint="eastAsia" w:ascii="宋体" w:hAnsi="宋体" w:eastAsia="宋体" w:cs="宋体"/>
          <w:color w:val="auto"/>
          <w:kern w:val="0"/>
          <w:sz w:val="21"/>
          <w:szCs w:val="21"/>
          <w:highlight w:val="none"/>
          <w:shd w:val="clear" w:color="auto" w:fill="FFFFFF"/>
        </w:rPr>
        <w:t>学生有下列情况之一者，可作从轻处理：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（一）已发生违纪行为，但能在学校发现前主动承认错误，且有明显悔改表现者；</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（二）受他人胁迫或诱骗，并能主动反映，积极防止不良后果者；</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（三）违纪者未满</w:t>
      </w:r>
      <w:r>
        <w:rPr>
          <w:rFonts w:ascii="宋体" w:hAnsi="宋体" w:eastAsia="宋体" w:cs="宋体"/>
          <w:color w:val="auto"/>
          <w:kern w:val="0"/>
          <w:sz w:val="21"/>
          <w:szCs w:val="21"/>
          <w:highlight w:val="none"/>
          <w:shd w:val="clear" w:color="auto" w:fill="FFFFFF"/>
        </w:rPr>
        <w:t>18周岁，或者因精神疾病不能完全辨认、控制自己行为者；</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（四）其他可以从轻处分者。</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第九条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ascii="宋体" w:hAnsi="宋体" w:eastAsia="宋体" w:cs="宋体"/>
          <w:color w:val="auto"/>
          <w:kern w:val="0"/>
          <w:sz w:val="21"/>
          <w:szCs w:val="21"/>
          <w:highlight w:val="none"/>
          <w:shd w:val="clear" w:color="auto" w:fill="FFFFFF"/>
        </w:rPr>
        <w:t>学生有下列情况之一者，可作从重处理：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（一）掩盖、隐瞒违纪事实，拒不承认错误者；</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（二）违纪行为造成严重后果或者恶劣影响者；</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（三）对有关人员进行诬陷、诱骗、威胁、打击报复者；</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（四）群体违纪的组织者；</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lang w:eastAsia="zh-CN"/>
        </w:rPr>
      </w:pPr>
      <w:r>
        <w:rPr>
          <w:rFonts w:hint="eastAsia" w:ascii="宋体" w:hAnsi="宋体" w:eastAsia="宋体" w:cs="宋体"/>
          <w:color w:val="auto"/>
          <w:kern w:val="0"/>
          <w:sz w:val="21"/>
          <w:szCs w:val="21"/>
          <w:highlight w:val="none"/>
          <w:shd w:val="clear" w:color="auto" w:fill="FFFFFF"/>
          <w:lang w:eastAsia="zh-CN"/>
        </w:rPr>
        <w:t>（五）有吸毒、贩毒、藏毒等涉毒行为者；</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w:t>
      </w:r>
      <w:r>
        <w:rPr>
          <w:rFonts w:hint="eastAsia" w:ascii="宋体" w:hAnsi="宋体" w:eastAsia="宋体" w:cs="宋体"/>
          <w:color w:val="auto"/>
          <w:kern w:val="0"/>
          <w:sz w:val="21"/>
          <w:szCs w:val="21"/>
          <w:highlight w:val="none"/>
          <w:shd w:val="clear" w:color="auto" w:fill="FFFFFF"/>
          <w:lang w:eastAsia="zh-CN"/>
        </w:rPr>
        <w:t>六</w:t>
      </w:r>
      <w:r>
        <w:rPr>
          <w:rFonts w:hint="eastAsia" w:ascii="宋体" w:hAnsi="宋体" w:eastAsia="宋体" w:cs="宋体"/>
          <w:color w:val="auto"/>
          <w:kern w:val="0"/>
          <w:sz w:val="21"/>
          <w:szCs w:val="21"/>
          <w:highlight w:val="none"/>
          <w:shd w:val="clear" w:color="auto" w:fill="FFFFFF"/>
        </w:rPr>
        <w:t>）其他可以从重处分者。</w:t>
      </w:r>
    </w:p>
    <w:p>
      <w:pPr>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9"/>
        <w:rPr>
          <w:rFonts w:hint="eastAsia" w:ascii="宋体" w:hAnsi="宋体" w:eastAsia="宋体" w:cs="宋体"/>
          <w:b/>
          <w:bCs/>
          <w:color w:val="auto"/>
          <w:kern w:val="0"/>
          <w:sz w:val="28"/>
          <w:szCs w:val="28"/>
          <w:highlight w:val="none"/>
          <w:shd w:val="clear" w:color="auto" w:fill="FFFFFF"/>
        </w:rPr>
      </w:pPr>
      <w:r>
        <w:rPr>
          <w:rFonts w:hint="eastAsia" w:ascii="宋体" w:hAnsi="宋体" w:eastAsia="宋体" w:cs="宋体"/>
          <w:b/>
          <w:bCs/>
          <w:color w:val="auto"/>
          <w:kern w:val="0"/>
          <w:sz w:val="28"/>
          <w:szCs w:val="28"/>
          <w:highlight w:val="none"/>
          <w:shd w:val="clear" w:color="auto" w:fill="FFFFFF"/>
        </w:rPr>
        <w:t>第三章  违纪行为和处分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第十条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hint="eastAsia" w:ascii="宋体" w:hAnsi="宋体" w:eastAsia="宋体" w:cs="宋体"/>
          <w:color w:val="auto"/>
          <w:kern w:val="0"/>
          <w:sz w:val="21"/>
          <w:szCs w:val="21"/>
          <w:highlight w:val="none"/>
          <w:shd w:val="clear" w:color="auto" w:fill="FFFFFF"/>
        </w:rPr>
        <w:t>学生有</w:t>
      </w:r>
      <w:r>
        <w:rPr>
          <w:rFonts w:hint="eastAsia" w:ascii="宋体" w:hAnsi="宋体" w:eastAsia="宋体" w:cs="宋体"/>
          <w:color w:val="auto"/>
          <w:kern w:val="0"/>
          <w:sz w:val="21"/>
          <w:szCs w:val="21"/>
          <w:highlight w:val="none"/>
          <w:shd w:val="clear" w:color="auto" w:fill="FFFFFF"/>
          <w:lang w:val="en-US" w:eastAsia="zh-CN"/>
        </w:rPr>
        <w:t>下列</w:t>
      </w:r>
      <w:r>
        <w:rPr>
          <w:rFonts w:hint="eastAsia" w:ascii="宋体" w:hAnsi="宋体" w:eastAsia="宋体" w:cs="宋体"/>
          <w:color w:val="auto"/>
          <w:kern w:val="0"/>
          <w:sz w:val="21"/>
          <w:szCs w:val="21"/>
          <w:highlight w:val="none"/>
          <w:shd w:val="clear" w:color="auto" w:fill="FFFFFF"/>
        </w:rPr>
        <w:t>行为之一的，</w:t>
      </w:r>
      <w:r>
        <w:rPr>
          <w:rFonts w:hint="eastAsia" w:ascii="宋体" w:hAnsi="宋体" w:eastAsia="宋体" w:cs="宋体"/>
          <w:color w:val="auto"/>
          <w:kern w:val="0"/>
          <w:sz w:val="21"/>
          <w:szCs w:val="21"/>
          <w:highlight w:val="none"/>
          <w:shd w:val="clear" w:color="auto" w:fill="FFFFFF"/>
          <w:lang w:eastAsia="zh-CN"/>
        </w:rPr>
        <w:t>应当</w:t>
      </w:r>
      <w:r>
        <w:rPr>
          <w:rFonts w:hint="eastAsia" w:ascii="宋体" w:hAnsi="宋体" w:eastAsia="宋体" w:cs="宋体"/>
          <w:color w:val="auto"/>
          <w:kern w:val="0"/>
          <w:sz w:val="21"/>
          <w:szCs w:val="21"/>
          <w:highlight w:val="none"/>
          <w:shd w:val="clear" w:color="auto" w:fill="FFFFFF"/>
        </w:rPr>
        <w:t>给予开除学籍处分：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w:t>
      </w:r>
      <w:r>
        <w:rPr>
          <w:rFonts w:hint="eastAsia" w:ascii="宋体" w:hAnsi="宋体" w:eastAsia="宋体" w:cs="宋体"/>
          <w:color w:val="auto"/>
          <w:kern w:val="0"/>
          <w:sz w:val="21"/>
          <w:szCs w:val="21"/>
          <w:highlight w:val="none"/>
          <w:shd w:val="clear" w:color="auto" w:fill="FFFFFF"/>
          <w:lang w:eastAsia="zh-CN"/>
        </w:rPr>
        <w:t>一</w:t>
      </w:r>
      <w:r>
        <w:rPr>
          <w:rFonts w:hint="eastAsia" w:ascii="宋体" w:hAnsi="宋体" w:eastAsia="宋体" w:cs="宋体"/>
          <w:color w:val="auto"/>
          <w:kern w:val="0"/>
          <w:sz w:val="21"/>
          <w:szCs w:val="21"/>
          <w:highlight w:val="none"/>
          <w:shd w:val="clear" w:color="auto" w:fill="FFFFFF"/>
        </w:rPr>
        <w:t>）违反宪法，反对四项基本原则，破坏安定团结，扰乱社会秩序的；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（二）触犯国家法律，构成刑事犯罪的；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（三）受到治安管理处罚，情节严重</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性质恶劣的；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20" w:firstLineChars="200"/>
        <w:textAlignment w:val="auto"/>
        <w:outlineLvl w:val="9"/>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（四）代替他人或者让他人代替自己参加考试、组织作弊、使用通讯设备或其他器材作弊、向他人出售考试试题或答案谋取利益，以及其他严重作弊或扰乱考试秩序行为的；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（五）</w:t>
      </w:r>
      <w:r>
        <w:rPr>
          <w:rFonts w:ascii="宋体" w:hAnsi="宋体" w:eastAsia="宋体" w:cs="宋体"/>
          <w:color w:val="auto"/>
          <w:kern w:val="0"/>
          <w:sz w:val="21"/>
          <w:szCs w:val="21"/>
          <w:highlight w:val="none"/>
          <w:shd w:val="clear" w:color="auto" w:fill="FFFFFF"/>
        </w:rPr>
        <w:t>学位论文、公开发表的研究成果存在抄袭、篡改、伪造等学术不端行为，情节严重的，或者代写论文、买卖论文的</w:t>
      </w:r>
      <w:r>
        <w:rPr>
          <w:rFonts w:hint="eastAsia" w:ascii="宋体" w:hAnsi="宋体" w:eastAsia="宋体" w:cs="宋体"/>
          <w:color w:val="auto"/>
          <w:kern w:val="0"/>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20" w:firstLineChars="20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（六）违反《普通高等学校学生管理规定》和学校规定，严重影响学校教育教学秩序、生活秩序以及公共场所管理秩序的；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20" w:firstLineChars="20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（七）侵害其他个人、组织合法权益，造成严重后果的；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20" w:firstLineChars="20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（八）屡次违反学校规定受到纪律处分，经教育不改的。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left="17" w:leftChars="8" w:firstLine="401" w:firstLineChars="190"/>
        <w:textAlignment w:val="auto"/>
        <w:outlineLvl w:val="9"/>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b/>
          <w:bCs/>
          <w:color w:val="auto"/>
          <w:kern w:val="0"/>
          <w:sz w:val="21"/>
          <w:szCs w:val="21"/>
          <w:highlight w:val="none"/>
          <w:shd w:val="clear" w:color="auto" w:fill="FFFFFF"/>
          <w:lang w:val="en-US" w:eastAsia="zh-CN"/>
        </w:rPr>
        <w:t>第十一条</w:t>
      </w:r>
      <w:r>
        <w:rPr>
          <w:rFonts w:hint="eastAsia" w:ascii="宋体" w:hAnsi="宋体" w:eastAsia="宋体" w:cs="宋体"/>
          <w:color w:val="auto"/>
          <w:kern w:val="0"/>
          <w:sz w:val="21"/>
          <w:szCs w:val="21"/>
          <w:highlight w:val="none"/>
          <w:shd w:val="clear" w:color="auto" w:fill="FFFFFF"/>
          <w:lang w:val="en-US" w:eastAsia="zh-CN"/>
        </w:rPr>
        <w:t xml:space="preserve">  学生受到治安管理处罚，未达到开除学籍处分等级的，视其违纪行为的性质和过错的严重程度，给予警告及以上处分。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第十二条</w:t>
      </w:r>
      <w:r>
        <w:rPr>
          <w:rFonts w:hint="eastAsia" w:ascii="宋体" w:hAnsi="宋体" w:eastAsia="宋体" w:cs="宋体"/>
          <w:color w:val="auto"/>
          <w:kern w:val="0"/>
          <w:sz w:val="21"/>
          <w:szCs w:val="21"/>
          <w:highlight w:val="none"/>
          <w:shd w:val="clear" w:color="auto" w:fill="FFFFFF"/>
        </w:rPr>
        <w:t xml:space="preserve">  学生有下列扰乱校园秩序行为之一，未达到开除学籍处分等级的，视其违纪行为的性质和过错的严重程度，</w:t>
      </w:r>
      <w:r>
        <w:rPr>
          <w:rFonts w:ascii="宋体" w:hAnsi="宋体" w:eastAsia="宋体" w:cs="宋体"/>
          <w:color w:val="auto"/>
          <w:kern w:val="0"/>
          <w:sz w:val="21"/>
          <w:szCs w:val="21"/>
          <w:highlight w:val="none"/>
          <w:shd w:val="clear" w:color="auto" w:fill="FFFFFF"/>
        </w:rPr>
        <w:t>给予警告</w:t>
      </w:r>
      <w:r>
        <w:rPr>
          <w:rFonts w:hint="eastAsia" w:ascii="宋体" w:hAnsi="宋体" w:eastAsia="宋体" w:cs="宋体"/>
          <w:color w:val="auto"/>
          <w:kern w:val="0"/>
          <w:sz w:val="21"/>
          <w:szCs w:val="21"/>
          <w:highlight w:val="none"/>
          <w:shd w:val="clear" w:color="auto" w:fill="FFFFFF"/>
        </w:rPr>
        <w:t>及</w:t>
      </w:r>
      <w:r>
        <w:rPr>
          <w:rFonts w:ascii="宋体" w:hAnsi="宋体" w:eastAsia="宋体" w:cs="宋体"/>
          <w:color w:val="auto"/>
          <w:kern w:val="0"/>
          <w:sz w:val="21"/>
          <w:szCs w:val="21"/>
          <w:highlight w:val="none"/>
          <w:shd w:val="clear" w:color="auto" w:fill="FFFFFF"/>
        </w:rPr>
        <w:t>以上处分</w:t>
      </w:r>
      <w:r>
        <w:rPr>
          <w:rFonts w:hint="eastAsia" w:ascii="宋体" w:hAnsi="宋体" w:eastAsia="宋体" w:cs="宋体"/>
          <w:color w:val="auto"/>
          <w:kern w:val="0"/>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（一）寻衅滋事、酗酒闹事、结伙斗殴、侮辱他人或进行其他非法活动的；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（二）歪曲或捏造事实，通过字报、信件、电话、手机、网络等散布谣言、谎报险情，情节严重的；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（三）拒绝、阻碍学校管理人员正常工作、国家工作人员依法执行公务，不听劝阻的；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（四）扰乱课堂教学秩序，干扰教师正常教学和工作，不听劝阻的；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（五）其他扰乱校园秩序的行为。</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第十三条</w:t>
      </w:r>
      <w:r>
        <w:rPr>
          <w:rFonts w:hint="eastAsia" w:ascii="宋体" w:hAnsi="宋体" w:eastAsia="宋体" w:cs="宋体"/>
          <w:color w:val="auto"/>
          <w:kern w:val="0"/>
          <w:sz w:val="21"/>
          <w:szCs w:val="21"/>
          <w:highlight w:val="none"/>
          <w:shd w:val="clear" w:color="auto" w:fill="FFFFFF"/>
          <w:lang w:val="en-US" w:eastAsia="zh-CN"/>
        </w:rPr>
        <w:t xml:space="preserve">  </w:t>
      </w:r>
      <w:r>
        <w:rPr>
          <w:rFonts w:hint="eastAsia" w:ascii="宋体" w:hAnsi="宋体" w:eastAsia="宋体" w:cs="宋体"/>
          <w:color w:val="auto"/>
          <w:kern w:val="0"/>
          <w:sz w:val="21"/>
          <w:szCs w:val="21"/>
          <w:highlight w:val="none"/>
          <w:shd w:val="clear" w:color="auto" w:fill="FFFFFF"/>
        </w:rPr>
        <w:t>学生使用计算机网络，应当遵循国家和学校关于网络使用的有关规定，不得登陆非法网站、传播有害信息。违反者区分以下情况处理：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（一）利用计算机网络引发泄密事件，造成不良后果的，视情节轻重给予记过以上处分；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（二）制造或传播计算机病毒，对计算机系统、网络造成损害者，视情节轻重给予严重警告以上处分；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（三）混淆视听、制造混乱言论或者造成他人名誉伤害者，视情节轻重，给予警告以上处分；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（四）其他危害计算机信息网络安全的行为，视情节轻重，给予警告以上处分。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b/>
          <w:bCs/>
          <w:color w:val="auto"/>
          <w:kern w:val="0"/>
          <w:sz w:val="21"/>
          <w:szCs w:val="21"/>
          <w:highlight w:val="none"/>
          <w:shd w:val="clear" w:color="auto" w:fill="FFFFFF"/>
        </w:rPr>
        <w:t>第</w:t>
      </w:r>
      <w:r>
        <w:rPr>
          <w:rFonts w:hint="eastAsia" w:ascii="宋体" w:hAnsi="宋体" w:eastAsia="宋体" w:cs="宋体"/>
          <w:b/>
          <w:bCs/>
          <w:color w:val="auto"/>
          <w:kern w:val="0"/>
          <w:sz w:val="21"/>
          <w:szCs w:val="21"/>
          <w:highlight w:val="none"/>
          <w:shd w:val="clear" w:color="auto" w:fill="FFFFFF"/>
        </w:rPr>
        <w:t>十四</w:t>
      </w:r>
      <w:r>
        <w:rPr>
          <w:rFonts w:ascii="宋体" w:hAnsi="宋体" w:eastAsia="宋体" w:cs="宋体"/>
          <w:b/>
          <w:bCs/>
          <w:color w:val="auto"/>
          <w:kern w:val="0"/>
          <w:sz w:val="21"/>
          <w:szCs w:val="21"/>
          <w:highlight w:val="none"/>
          <w:shd w:val="clear" w:color="auto" w:fill="FFFFFF"/>
        </w:rPr>
        <w:t>条</w:t>
      </w:r>
      <w:r>
        <w:rPr>
          <w:rFonts w:hint="eastAsia" w:ascii="宋体" w:hAnsi="宋体" w:eastAsia="宋体" w:cs="宋体"/>
          <w:b w:val="0"/>
          <w:bCs w:val="0"/>
          <w:color w:val="auto"/>
          <w:kern w:val="0"/>
          <w:sz w:val="21"/>
          <w:szCs w:val="21"/>
          <w:highlight w:val="none"/>
          <w:shd w:val="clear" w:color="auto" w:fill="FFFFFF"/>
          <w:lang w:val="en-US" w:eastAsia="zh-CN"/>
        </w:rPr>
        <w:t xml:space="preserve">  </w:t>
      </w:r>
      <w:r>
        <w:rPr>
          <w:rFonts w:ascii="宋体" w:hAnsi="宋体" w:eastAsia="宋体" w:cs="宋体"/>
          <w:color w:val="auto"/>
          <w:kern w:val="0"/>
          <w:sz w:val="21"/>
          <w:szCs w:val="21"/>
          <w:highlight w:val="none"/>
          <w:shd w:val="clear" w:color="auto" w:fill="FFFFFF"/>
        </w:rPr>
        <w:t>学生有下列妨害校园公共安全行为之一，未达到开除学籍处分等级的，视其违纪行为的性质和过错的严重程度，给予警告以上处分：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（一）非法存放管制刀具的；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（二）违章存放易燃易爆危险品，违章使用明火或焚烧物品的；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（三）在教室等建筑内故意向窗外抛扔物品、火种等，危及他人安全的；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（四）故意挪动、随意开启或破坏安防设施、交通标志等，情节严重的；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（五）在校内驾驶无牌无证的车辆（机动车、非机动车）；</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（六）在校内驾驶车辆超速行驶的；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（七）携带危险品进入课堂、会场等公共场所，情节严重的；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（八）其他妨害校园公共安全的行为。</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b/>
          <w:bCs/>
          <w:color w:val="auto"/>
          <w:kern w:val="0"/>
          <w:sz w:val="21"/>
          <w:szCs w:val="21"/>
          <w:highlight w:val="none"/>
          <w:shd w:val="clear" w:color="auto" w:fill="FFFFFF"/>
        </w:rPr>
        <w:t>第</w:t>
      </w:r>
      <w:r>
        <w:rPr>
          <w:rFonts w:hint="eastAsia" w:ascii="宋体" w:hAnsi="宋体" w:eastAsia="宋体" w:cs="宋体"/>
          <w:b/>
          <w:bCs/>
          <w:color w:val="auto"/>
          <w:kern w:val="0"/>
          <w:sz w:val="21"/>
          <w:szCs w:val="21"/>
          <w:highlight w:val="none"/>
          <w:shd w:val="clear" w:color="auto" w:fill="FFFFFF"/>
        </w:rPr>
        <w:t>十五</w:t>
      </w:r>
      <w:r>
        <w:rPr>
          <w:rFonts w:ascii="宋体" w:hAnsi="宋体" w:eastAsia="宋体" w:cs="宋体"/>
          <w:b/>
          <w:bCs/>
          <w:color w:val="auto"/>
          <w:kern w:val="0"/>
          <w:sz w:val="21"/>
          <w:szCs w:val="21"/>
          <w:highlight w:val="none"/>
          <w:shd w:val="clear" w:color="auto" w:fill="FFFFFF"/>
        </w:rPr>
        <w:t>条</w:t>
      </w:r>
      <w:r>
        <w:rPr>
          <w:rFonts w:ascii="宋体" w:hAnsi="宋体" w:eastAsia="宋体" w:cs="宋体"/>
          <w:color w:val="auto"/>
          <w:kern w:val="0"/>
          <w:sz w:val="21"/>
          <w:szCs w:val="21"/>
          <w:highlight w:val="none"/>
          <w:shd w:val="clear" w:color="auto" w:fill="FFFFFF"/>
        </w:rPr>
        <w:t> 学生有下列妨害学校管理秩序行为之一，未达到开除学籍处分的，视其违纪行为的性质和过错的严重程度，给予警告以上处分：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（一）在学校进行宗教活动的；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（二）违反学校讲座、报告会、论坛等相关管理规定，未经批准的；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（三）违反学校学生社团管理规定，未经批准组织成立学生社团，或冒用合法学生社团名义开展活动、出版刊物等的；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（四）违反国家和学校关于网络使用有关规定，登录非法网站，传播有害信息等的；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（五）入侵学校信息系统，对系统功能、应用程序、数据进行窃取、篡改的；或者造成学校信息系统、应用程序、数据损毁的；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（六）未经批准在学校从事各类经营性、广告性等活动的；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（七）在学校室内公共场所违规吸烟的；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（八）其他妨害学校管理秩序的行为。</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第十六条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hint="eastAsia" w:ascii="宋体" w:hAnsi="宋体" w:eastAsia="宋体" w:cs="宋体"/>
          <w:color w:val="auto"/>
          <w:kern w:val="0"/>
          <w:sz w:val="21"/>
          <w:szCs w:val="21"/>
          <w:highlight w:val="none"/>
          <w:shd w:val="clear" w:color="auto" w:fill="FFFFFF"/>
        </w:rPr>
        <w:t>学生有下列侵犯公私财物行为之一，未达到开除学籍处分的，视其违纪行为的性质和过错的严重程度，给予相应的纪律处分：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（一）故意破坏学校公共设施、教育设备，破坏桌椅、电脑、树木、草坪及其它物品的，给予警告以上处分；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（二）在学校建筑物、公用设施上乱涂乱画，违章张贴，情节严重的，给予警告以上处分；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（三）对馆藏图书以旧换新、撕页，或偷用他人证件借书的，给予警告以上处分；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（四）</w:t>
      </w:r>
      <w:r>
        <w:rPr>
          <w:rFonts w:ascii="宋体" w:hAnsi="宋体" w:eastAsia="宋体" w:cs="宋体"/>
          <w:color w:val="auto"/>
          <w:kern w:val="0"/>
          <w:sz w:val="21"/>
          <w:szCs w:val="21"/>
          <w:highlight w:val="none"/>
          <w:shd w:val="clear" w:color="auto" w:fill="FFFFFF"/>
        </w:rPr>
        <w:t>偷窃、骗取公私财物，冒领他人财物或将他人遗忘物品占为己有，价值不满1000元的，给予警告以上处分；价值在1000元以上，不构成刑事犯罪的，给予严重警告以上处分</w:t>
      </w:r>
      <w:r>
        <w:rPr>
          <w:rFonts w:hint="eastAsia" w:ascii="宋体" w:hAnsi="宋体" w:eastAsia="宋体" w:cs="宋体"/>
          <w:color w:val="auto"/>
          <w:kern w:val="0"/>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（五）明知赃物而窝藏、销毁、转移或者购买的，不构成刑事犯罪的，给予警告以上处分；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（六）其他侵犯公私财物的行为，给予警告以上处分。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第十七条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hint="eastAsia" w:ascii="宋体" w:hAnsi="宋体" w:eastAsia="宋体" w:cs="宋体"/>
          <w:color w:val="auto"/>
          <w:kern w:val="0"/>
          <w:sz w:val="21"/>
          <w:szCs w:val="21"/>
          <w:highlight w:val="none"/>
          <w:shd w:val="clear" w:color="auto" w:fill="FFFFFF"/>
        </w:rPr>
        <w:t>学生有下列侵犯他人人身权利行为之一，未达到开除学籍处分的，视其违纪行为的性质和过错的严重程度，给予相应的纪律处分：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（一）挑起或参与打架，未造成人身伤害的，给予警告处分；造成人身伤害的，给予严重警告以上处分；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（二）公然侮辱他人或捏造事实诽谤他人的，给予警告以上处分；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（三）隐匿、销毁或私自拆开他人信件、邮包等的，给予警告以上处分；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（四）</w:t>
      </w:r>
      <w:r>
        <w:rPr>
          <w:rFonts w:ascii="宋体" w:hAnsi="宋体" w:eastAsia="宋体" w:cs="宋体"/>
          <w:color w:val="auto"/>
          <w:kern w:val="0"/>
          <w:sz w:val="21"/>
          <w:szCs w:val="21"/>
          <w:highlight w:val="none"/>
          <w:shd w:val="clear" w:color="auto" w:fill="FFFFFF"/>
        </w:rPr>
        <w:t>采用信件、电话、短信、电子邮件、网络留言等各种方式威胁他人安全、干扰他人正常生活的，给予警告以上处分；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（五）其他侵犯他人人身权利的行为，给予警告以上处分；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b/>
          <w:bCs/>
          <w:color w:val="auto"/>
          <w:kern w:val="0"/>
          <w:sz w:val="21"/>
          <w:szCs w:val="21"/>
          <w:highlight w:val="none"/>
          <w:shd w:val="clear" w:color="auto" w:fill="FFFFFF"/>
        </w:rPr>
        <w:t>第</w:t>
      </w:r>
      <w:r>
        <w:rPr>
          <w:rFonts w:hint="eastAsia" w:ascii="宋体" w:hAnsi="宋体" w:eastAsia="宋体" w:cs="宋体"/>
          <w:b/>
          <w:bCs/>
          <w:color w:val="auto"/>
          <w:kern w:val="0"/>
          <w:sz w:val="21"/>
          <w:szCs w:val="21"/>
          <w:highlight w:val="none"/>
          <w:shd w:val="clear" w:color="auto" w:fill="FFFFFF"/>
        </w:rPr>
        <w:t>十八</w:t>
      </w:r>
      <w:r>
        <w:rPr>
          <w:rFonts w:ascii="宋体" w:hAnsi="宋体" w:eastAsia="宋体" w:cs="宋体"/>
          <w:b/>
          <w:bCs/>
          <w:color w:val="auto"/>
          <w:kern w:val="0"/>
          <w:sz w:val="21"/>
          <w:szCs w:val="21"/>
          <w:highlight w:val="none"/>
          <w:shd w:val="clear" w:color="auto" w:fill="FFFFFF"/>
        </w:rPr>
        <w:t>条</w:t>
      </w:r>
      <w:r>
        <w:rPr>
          <w:rFonts w:ascii="宋体" w:hAnsi="宋体" w:eastAsia="宋体" w:cs="宋体"/>
          <w:color w:val="auto"/>
          <w:kern w:val="0"/>
          <w:sz w:val="21"/>
          <w:szCs w:val="21"/>
          <w:highlight w:val="none"/>
          <w:shd w:val="clear" w:color="auto" w:fill="FFFFFF"/>
        </w:rPr>
        <w:t> 学生有下列违反实验室管理规定行为之一，未达到开除学籍处分的，视其违纪行为的性质和过错的严重程度，给予相应纪律处分：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（一）因违章操作损坏、丢失仪器设备的，视情节轻重给予警告以上处分；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（二）因违规用火、用电或者不当的实验操作造成火警、火灾事故的，视情节轻重给予记过以上处分；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（三）有违反实验室管理规定的其他行为，经批评教育无效的，给予警告以上纪律处分。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b/>
          <w:bCs/>
          <w:color w:val="auto"/>
          <w:kern w:val="0"/>
          <w:sz w:val="21"/>
          <w:szCs w:val="21"/>
          <w:highlight w:val="none"/>
          <w:shd w:val="clear" w:color="auto" w:fill="FFFFFF"/>
        </w:rPr>
        <w:t>第</w:t>
      </w:r>
      <w:r>
        <w:rPr>
          <w:rFonts w:hint="eastAsia" w:ascii="宋体" w:hAnsi="宋体" w:eastAsia="宋体" w:cs="宋体"/>
          <w:b/>
          <w:bCs/>
          <w:color w:val="auto"/>
          <w:kern w:val="0"/>
          <w:sz w:val="21"/>
          <w:szCs w:val="21"/>
          <w:highlight w:val="none"/>
          <w:shd w:val="clear" w:color="auto" w:fill="FFFFFF"/>
        </w:rPr>
        <w:t>十九</w:t>
      </w:r>
      <w:r>
        <w:rPr>
          <w:rFonts w:ascii="宋体" w:hAnsi="宋体" w:eastAsia="宋体" w:cs="宋体"/>
          <w:b/>
          <w:bCs/>
          <w:color w:val="auto"/>
          <w:kern w:val="0"/>
          <w:sz w:val="21"/>
          <w:szCs w:val="21"/>
          <w:highlight w:val="none"/>
          <w:shd w:val="clear" w:color="auto" w:fill="FFFFFF"/>
        </w:rPr>
        <w:t>条</w:t>
      </w:r>
      <w:r>
        <w:rPr>
          <w:rFonts w:ascii="宋体" w:hAnsi="宋体" w:eastAsia="宋体" w:cs="宋体"/>
          <w:b w:val="0"/>
          <w:bCs w:val="0"/>
          <w:color w:val="auto"/>
          <w:kern w:val="0"/>
          <w:sz w:val="21"/>
          <w:szCs w:val="21"/>
          <w:highlight w:val="none"/>
          <w:shd w:val="clear" w:color="auto" w:fill="FFFFFF"/>
        </w:rPr>
        <w:t> </w:t>
      </w:r>
      <w:r>
        <w:rPr>
          <w:rFonts w:ascii="宋体" w:hAnsi="宋体" w:eastAsia="宋体" w:cs="宋体"/>
          <w:color w:val="auto"/>
          <w:kern w:val="0"/>
          <w:sz w:val="21"/>
          <w:szCs w:val="21"/>
          <w:highlight w:val="none"/>
          <w:shd w:val="clear" w:color="auto" w:fill="FFFFFF"/>
        </w:rPr>
        <w:t>学生有下列失信行为之一，未达到开除学籍处分的，视其违纪行为的性质和过错的严重程度，给予相应纪律处分：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（一）明知他人违纪，阻碍学校、执法机关调查或被调查时作伪证的，给予警告处分；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（二）弄虚作假，骗取学校奖学金的，除需退回所获钱款外，给予记过以上处分；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（三）无正当理由，恶意欠缴学费，情节严重的，给予警告以上处分；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（四）伪造身份证、单位公章，涂改或伪造一卡通等证件，伪造他人私章、他人签名，涂改或伪造成绩单、证书等证明文件的，视情节轻重，给予记过以上处分；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（五）有其</w:t>
      </w:r>
      <w:r>
        <w:rPr>
          <w:rFonts w:hint="eastAsia" w:ascii="宋体" w:hAnsi="宋体" w:eastAsia="宋体" w:cs="宋体"/>
          <w:color w:val="auto"/>
          <w:kern w:val="0"/>
          <w:sz w:val="21"/>
          <w:szCs w:val="21"/>
          <w:highlight w:val="none"/>
          <w:shd w:val="clear" w:color="auto" w:fill="FFFFFF"/>
        </w:rPr>
        <w:t>它</w:t>
      </w:r>
      <w:r>
        <w:rPr>
          <w:rFonts w:ascii="宋体" w:hAnsi="宋体" w:eastAsia="宋体" w:cs="宋体"/>
          <w:color w:val="auto"/>
          <w:kern w:val="0"/>
          <w:sz w:val="21"/>
          <w:szCs w:val="21"/>
          <w:highlight w:val="none"/>
          <w:shd w:val="clear" w:color="auto" w:fill="FFFFFF"/>
        </w:rPr>
        <w:t>失信行为的，视情节轻重，给予警告以上处分。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第二十条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hint="eastAsia" w:ascii="宋体" w:hAnsi="宋体" w:eastAsia="宋体" w:cs="宋体"/>
          <w:color w:val="auto"/>
          <w:kern w:val="0"/>
          <w:sz w:val="21"/>
          <w:szCs w:val="21"/>
          <w:highlight w:val="none"/>
          <w:shd w:val="clear" w:color="auto" w:fill="FFFFFF"/>
        </w:rPr>
        <w:t>学生有下列违反考场纪律或考试作弊行为之一，未达到开除学籍处分的，视其违纪行为的性质和过错的严重程度，给予相应的纪律处分：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（一）有下列行为之一，不听劝告无理取闹者，以违反考场纪律论处，给予警告处分，成绩记“0”分：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1、未携带学校规定的有效证件进入考场的；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2、不具备考试资格进入考场；</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rPr>
        <w:t>3、未按监考老师指定的位置入座</w:t>
      </w:r>
      <w:r>
        <w:rPr>
          <w:rFonts w:hint="eastAsia" w:ascii="宋体" w:hAnsi="宋体" w:eastAsia="宋体" w:cs="宋体"/>
          <w:color w:val="auto"/>
          <w:kern w:val="0"/>
          <w:sz w:val="21"/>
          <w:szCs w:val="21"/>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4、未按要求将物品放到指定地点的；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5、在考试等禁止的范围内，喧哗、打闹或实施其他影响考场秩序行为的；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6、未经考试工作人员同意在考试过程中擅自离开考场的；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7、其他相当行为的。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（二）有下列行为之一者，以违反考场纪律论处，给予严重警告处分，成绩记“0”分：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1、考试过程中使用自备草稿纸，私自借用考试工具或其他影响考场秩序和有违考试公正、公平行为的；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2、携带具有发送或者接收信息功能的设备的；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3、考试开始信号发出前答题或考试结束信号发出后继续答题的；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4、将试卷、答卷（含答题卡、答题纸等）、草稿纸等考试用纸带出考场的；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5、其他相当行为的。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（三）有下列行为之一者，以考试作弊论处，给予记过处分，成绩记“0”分：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1、桌上和课桌里放有与考试内容有关的书、纸或其他物品的；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2、身上或其他物品上写有与考试有关内容的；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3、传递字条的；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4、在考试中旁窥、交头接耳、互打暗号或手势的；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5、违反课程考查要求，抄袭他人成果的；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6、其他相当的行为。</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（四）有下列行为之一者，以考试作弊论处，给予留校察看处分，成绩记“0”分：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1、偷看书籍、笔记、字条或别人试卷的；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2、传递或交换考卷、答卷、草稿纸等的；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3、交卷时互相核对或涂改答案的；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4、使用具有发送或者接受信息功能的设备；</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5、故意损坏试卷、答案等考试材料的；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6、抢夺、窃取他人试卷、答卷或强迫他人为自己抄袭提供方便的；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7、抄袭或协助他人抄袭试题答案或与考试内容有关的资料的；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8、同一科目同一考场有两份以上（含两份）答卷答案雷同的；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9、其他相当行为的。</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第二十一条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ascii="宋体" w:hAnsi="宋体" w:eastAsia="宋体" w:cs="宋体"/>
          <w:color w:val="auto"/>
          <w:kern w:val="0"/>
          <w:sz w:val="21"/>
          <w:szCs w:val="21"/>
          <w:highlight w:val="none"/>
          <w:shd w:val="clear" w:color="auto" w:fill="FFFFFF"/>
        </w:rPr>
        <w:t>学生在国家教育考试、其他法律规定的国家考试或经省级考试机构认定的考试中，违反考场纪律或考试作弊，视其违纪行为的性质和过错的严重程度，未达到开除学籍处分的，参照第二十条，给予相应纪律处分。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第二十二条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hint="eastAsia" w:ascii="宋体" w:hAnsi="宋体" w:eastAsia="宋体" w:cs="宋体"/>
          <w:color w:val="auto"/>
          <w:kern w:val="0"/>
          <w:sz w:val="21"/>
          <w:szCs w:val="21"/>
          <w:highlight w:val="none"/>
          <w:shd w:val="clear" w:color="auto" w:fill="FFFFFF"/>
        </w:rPr>
        <w:t>学生有组织、煽动或参加非法集会、游行和示威等活动，未达到开除学籍处分等级的，视其违纪行为的性质和过错的严重程度，给予警告以上处分。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第二十三条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hint="eastAsia" w:ascii="宋体" w:hAnsi="宋体" w:eastAsia="宋体" w:cs="宋体"/>
          <w:color w:val="auto"/>
          <w:kern w:val="0"/>
          <w:sz w:val="21"/>
          <w:szCs w:val="21"/>
          <w:highlight w:val="none"/>
          <w:shd w:val="clear" w:color="auto" w:fill="FFFFFF"/>
        </w:rPr>
        <w:t>学生参与非法传销或进行邪教、封建迷信活动，未达到开除学籍处分等级的，视其违纪行为的性质和过错的严重程度，给予警告以上处分。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第二十四条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hint="eastAsia" w:ascii="宋体" w:hAnsi="宋体" w:eastAsia="宋体" w:cs="宋体"/>
          <w:color w:val="auto"/>
          <w:kern w:val="0"/>
          <w:sz w:val="21"/>
          <w:szCs w:val="21"/>
          <w:highlight w:val="none"/>
          <w:shd w:val="clear" w:color="auto" w:fill="FFFFFF"/>
        </w:rPr>
        <w:t>学生有从事或参与有损大学生形象、有损社会公德活动的，未达到开除学籍处分等级的，视其违纪行为的性质和过错的严重程度，给予警告以上处分。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第二十五条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hint="eastAsia" w:ascii="宋体" w:hAnsi="宋体" w:eastAsia="宋体" w:cs="宋体"/>
          <w:color w:val="auto"/>
          <w:kern w:val="0"/>
          <w:sz w:val="21"/>
          <w:szCs w:val="21"/>
          <w:highlight w:val="none"/>
          <w:shd w:val="clear" w:color="auto" w:fill="FFFFFF"/>
        </w:rPr>
        <w:t>严禁学生参与赌博或为赌博提供条件以及阅读、观看、张贴、传播或制作、复制、出售淫秽、封建迷信、邪教等内容的书刊、音像或其他物品。严禁学生卖淫、嫖宿暗娼，介绍或容留卖淫、嫖宿暗娼；</w:t>
      </w:r>
      <w:r>
        <w:rPr>
          <w:rFonts w:ascii="宋体" w:hAnsi="宋体" w:eastAsia="宋体" w:cs="宋体"/>
          <w:color w:val="auto"/>
          <w:kern w:val="0"/>
          <w:sz w:val="21"/>
          <w:szCs w:val="21"/>
          <w:highlight w:val="none"/>
          <w:shd w:val="clear" w:color="auto" w:fill="FFFFFF"/>
        </w:rPr>
        <w:t>未达到开除学籍处分的，</w:t>
      </w:r>
      <w:r>
        <w:rPr>
          <w:rFonts w:hint="eastAsia" w:ascii="宋体" w:hAnsi="宋体" w:eastAsia="宋体" w:cs="宋体"/>
          <w:color w:val="auto"/>
          <w:kern w:val="0"/>
          <w:sz w:val="21"/>
          <w:szCs w:val="21"/>
          <w:highlight w:val="none"/>
          <w:shd w:val="clear" w:color="auto" w:fill="FFFFFF"/>
        </w:rPr>
        <w:t>视其违纪行为的性质和过错的严重程度，给予严重警告以上处分。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outlineLvl w:val="9"/>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第二十六条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hint="eastAsia" w:ascii="宋体" w:hAnsi="宋体" w:eastAsia="宋体" w:cs="宋体"/>
          <w:color w:val="auto"/>
          <w:kern w:val="0"/>
          <w:sz w:val="21"/>
          <w:szCs w:val="21"/>
          <w:highlight w:val="none"/>
          <w:shd w:val="clear" w:color="auto" w:fill="FFFFFF"/>
        </w:rPr>
        <w:t>严禁学生持有毒品、吸毒、贩毒</w:t>
      </w:r>
      <w:r>
        <w:rPr>
          <w:rFonts w:hint="eastAsia" w:ascii="宋体" w:hAnsi="宋体" w:eastAsia="宋体" w:cs="宋体"/>
          <w:color w:val="auto"/>
          <w:kern w:val="0"/>
          <w:sz w:val="21"/>
          <w:szCs w:val="21"/>
          <w:highlight w:val="none"/>
          <w:shd w:val="clear" w:color="auto" w:fill="FFFFFF"/>
          <w:lang w:eastAsia="zh-CN"/>
        </w:rPr>
        <w:t>等与毒品有关的违法行为</w:t>
      </w:r>
      <w:r>
        <w:rPr>
          <w:rFonts w:ascii="宋体" w:hAnsi="宋体" w:eastAsia="宋体" w:cs="宋体"/>
          <w:color w:val="auto"/>
          <w:kern w:val="0"/>
          <w:sz w:val="21"/>
          <w:szCs w:val="21"/>
          <w:highlight w:val="none"/>
          <w:shd w:val="clear" w:color="auto" w:fill="FFFFFF"/>
        </w:rPr>
        <w:t>，视其</w:t>
      </w:r>
      <w:r>
        <w:rPr>
          <w:rFonts w:hint="eastAsia" w:ascii="宋体" w:hAnsi="宋体" w:eastAsia="宋体" w:cs="宋体"/>
          <w:color w:val="auto"/>
          <w:kern w:val="0"/>
          <w:sz w:val="21"/>
          <w:szCs w:val="21"/>
          <w:highlight w:val="none"/>
          <w:shd w:val="clear" w:color="auto" w:fill="FFFFFF"/>
          <w:lang w:eastAsia="zh-CN"/>
        </w:rPr>
        <w:t>情节轻重给予留校察看直至开除学籍处分</w:t>
      </w:r>
      <w:r>
        <w:rPr>
          <w:rFonts w:ascii="宋体" w:hAnsi="宋体" w:eastAsia="宋体" w:cs="宋体"/>
          <w:color w:val="auto"/>
          <w:kern w:val="0"/>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9"/>
        <w:rPr>
          <w:rFonts w:hint="eastAsia" w:ascii="宋体" w:hAnsi="宋体" w:eastAsia="宋体" w:cs="宋体"/>
          <w:b/>
          <w:bCs/>
          <w:color w:val="auto"/>
          <w:kern w:val="0"/>
          <w:sz w:val="28"/>
          <w:szCs w:val="28"/>
          <w:highlight w:val="none"/>
          <w:shd w:val="clear" w:color="auto" w:fill="FFFFFF"/>
        </w:rPr>
      </w:pPr>
      <w:r>
        <w:rPr>
          <w:rFonts w:hint="eastAsia" w:ascii="宋体" w:hAnsi="宋体" w:eastAsia="宋体" w:cs="宋体"/>
          <w:b/>
          <w:bCs/>
          <w:color w:val="auto"/>
          <w:kern w:val="0"/>
          <w:sz w:val="28"/>
          <w:szCs w:val="28"/>
          <w:highlight w:val="none"/>
          <w:shd w:val="clear" w:color="auto" w:fill="FFFFFF"/>
        </w:rPr>
        <w:t>第四章  处分和解除处分程序</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第二十</w:t>
      </w:r>
      <w:r>
        <w:rPr>
          <w:rFonts w:hint="eastAsia" w:ascii="宋体" w:hAnsi="宋体" w:eastAsia="宋体" w:cs="宋体"/>
          <w:b/>
          <w:bCs/>
          <w:color w:val="auto"/>
          <w:kern w:val="0"/>
          <w:sz w:val="21"/>
          <w:szCs w:val="21"/>
          <w:highlight w:val="none"/>
          <w:shd w:val="clear" w:color="auto" w:fill="FFFFFF"/>
          <w:lang w:eastAsia="zh-CN"/>
        </w:rPr>
        <w:t>七</w:t>
      </w:r>
      <w:r>
        <w:rPr>
          <w:rFonts w:hint="eastAsia" w:ascii="宋体" w:hAnsi="宋体" w:eastAsia="宋体" w:cs="宋体"/>
          <w:b/>
          <w:bCs/>
          <w:color w:val="auto"/>
          <w:kern w:val="0"/>
          <w:sz w:val="21"/>
          <w:szCs w:val="21"/>
          <w:highlight w:val="none"/>
          <w:shd w:val="clear" w:color="auto" w:fill="FFFFFF"/>
        </w:rPr>
        <w:t>条</w:t>
      </w:r>
      <w:r>
        <w:rPr>
          <w:rFonts w:hint="eastAsia" w:ascii="宋体" w:hAnsi="宋体" w:eastAsia="宋体" w:cs="宋体"/>
          <w:b w:val="0"/>
          <w:color w:val="auto"/>
          <w:kern w:val="0"/>
          <w:sz w:val="21"/>
          <w:szCs w:val="21"/>
          <w:highlight w:val="none"/>
          <w:shd w:val="clear" w:color="auto" w:fill="FFFFFF"/>
        </w:rPr>
        <w:t xml:space="preserve"> </w:t>
      </w:r>
      <w:r>
        <w:rPr>
          <w:rFonts w:hint="eastAsia" w:ascii="宋体" w:hAnsi="宋体" w:eastAsia="宋体" w:cs="宋体"/>
          <w:color w:val="auto"/>
          <w:kern w:val="0"/>
          <w:sz w:val="21"/>
          <w:szCs w:val="21"/>
          <w:highlight w:val="none"/>
          <w:shd w:val="clear" w:color="auto" w:fill="FFFFFF"/>
        </w:rPr>
        <w:t>对学生的纪律处分和解除处分，</w:t>
      </w:r>
      <w:r>
        <w:rPr>
          <w:rFonts w:hint="eastAsia" w:ascii="宋体" w:hAnsi="宋体" w:eastAsia="宋体" w:cs="宋体"/>
          <w:color w:val="auto"/>
          <w:kern w:val="0"/>
          <w:sz w:val="21"/>
          <w:szCs w:val="21"/>
          <w:highlight w:val="none"/>
          <w:shd w:val="clear" w:color="auto" w:fill="FFFFFF"/>
          <w:lang w:eastAsia="zh-CN"/>
        </w:rPr>
        <w:t>学院</w:t>
      </w:r>
      <w:r>
        <w:rPr>
          <w:rFonts w:hint="eastAsia" w:ascii="宋体" w:hAnsi="宋体" w:eastAsia="宋体" w:cs="宋体"/>
          <w:color w:val="auto"/>
          <w:kern w:val="0"/>
          <w:sz w:val="21"/>
          <w:szCs w:val="21"/>
          <w:highlight w:val="none"/>
          <w:shd w:val="clear" w:color="auto" w:fill="FFFFFF"/>
        </w:rPr>
        <w:t>各职能部门要各司其职、协调工作。对学生作出警告、严重警告、记过和留校察看处分决定，由</w:t>
      </w:r>
      <w:r>
        <w:rPr>
          <w:rFonts w:hint="eastAsia" w:ascii="宋体" w:hAnsi="宋体" w:eastAsia="宋体" w:cs="宋体"/>
          <w:color w:val="auto"/>
          <w:kern w:val="0"/>
          <w:sz w:val="21"/>
          <w:szCs w:val="21"/>
          <w:highlight w:val="none"/>
          <w:shd w:val="clear" w:color="auto" w:fill="FFFFFF"/>
          <w:lang w:val="en-US" w:eastAsia="zh-CN"/>
        </w:rPr>
        <w:t>校学历继续教育学生违纪处分小组</w:t>
      </w:r>
      <w:r>
        <w:rPr>
          <w:rFonts w:hint="eastAsia" w:ascii="宋体" w:hAnsi="宋体" w:eastAsia="宋体" w:cs="宋体"/>
          <w:color w:val="auto"/>
          <w:kern w:val="0"/>
          <w:sz w:val="21"/>
          <w:szCs w:val="21"/>
          <w:highlight w:val="none"/>
          <w:shd w:val="clear" w:color="auto" w:fill="FFFFFF"/>
        </w:rPr>
        <w:t>研究决定；对学生作出开除学籍处分决定，由校长办公会研究决定。解除处分由</w:t>
      </w:r>
      <w:r>
        <w:rPr>
          <w:rFonts w:hint="eastAsia" w:ascii="宋体" w:hAnsi="宋体" w:eastAsia="宋体" w:cs="宋体"/>
          <w:color w:val="auto"/>
          <w:kern w:val="0"/>
          <w:sz w:val="21"/>
          <w:szCs w:val="21"/>
          <w:highlight w:val="none"/>
          <w:shd w:val="clear" w:color="auto" w:fill="FFFFFF"/>
          <w:lang w:val="en-US" w:eastAsia="zh-CN"/>
        </w:rPr>
        <w:t>校学历继续教育学生违纪处分小组</w:t>
      </w:r>
      <w:r>
        <w:rPr>
          <w:rFonts w:hint="eastAsia" w:ascii="宋体" w:hAnsi="宋体" w:eastAsia="宋体" w:cs="宋体"/>
          <w:color w:val="auto"/>
          <w:kern w:val="0"/>
          <w:sz w:val="21"/>
          <w:szCs w:val="21"/>
          <w:highlight w:val="none"/>
          <w:shd w:val="clear" w:color="auto" w:fill="FFFFFF"/>
        </w:rPr>
        <w:t>研究决定。</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第二十</w:t>
      </w:r>
      <w:r>
        <w:rPr>
          <w:rFonts w:hint="eastAsia" w:ascii="宋体" w:hAnsi="宋体" w:eastAsia="宋体" w:cs="宋体"/>
          <w:b/>
          <w:bCs/>
          <w:color w:val="auto"/>
          <w:kern w:val="0"/>
          <w:sz w:val="21"/>
          <w:szCs w:val="21"/>
          <w:highlight w:val="none"/>
          <w:shd w:val="clear" w:color="auto" w:fill="FFFFFF"/>
          <w:lang w:eastAsia="zh-CN"/>
        </w:rPr>
        <w:t>八</w:t>
      </w:r>
      <w:r>
        <w:rPr>
          <w:rFonts w:hint="eastAsia" w:ascii="宋体" w:hAnsi="宋体" w:eastAsia="宋体" w:cs="宋体"/>
          <w:b/>
          <w:bCs/>
          <w:color w:val="auto"/>
          <w:kern w:val="0"/>
          <w:sz w:val="21"/>
          <w:szCs w:val="21"/>
          <w:highlight w:val="none"/>
          <w:shd w:val="clear" w:color="auto" w:fill="FFFFFF"/>
        </w:rPr>
        <w:t>条</w:t>
      </w:r>
      <w:r>
        <w:rPr>
          <w:rFonts w:hint="eastAsia" w:ascii="宋体" w:hAnsi="宋体" w:eastAsia="宋体" w:cs="宋体"/>
          <w:color w:val="auto"/>
          <w:kern w:val="0"/>
          <w:sz w:val="21"/>
          <w:szCs w:val="21"/>
          <w:highlight w:val="none"/>
          <w:shd w:val="clear" w:color="auto" w:fill="FFFFFF"/>
        </w:rPr>
        <w:t>  违纪处分程序</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jc w:val="left"/>
        <w:textAlignment w:val="auto"/>
        <w:outlineLvl w:val="9"/>
        <w:rPr>
          <w:rFonts w:hint="eastAsia" w:ascii="宋体" w:hAnsi="宋体" w:eastAsia="宋体" w:cs="宋体"/>
          <w:color w:val="auto"/>
          <w:kern w:val="0"/>
          <w:sz w:val="21"/>
          <w:szCs w:val="21"/>
          <w:highlight w:val="none"/>
          <w:shd w:val="clear" w:color="auto" w:fill="FFFFFF"/>
          <w:lang w:eastAsia="zh-CN"/>
        </w:rPr>
      </w:pPr>
      <w:r>
        <w:rPr>
          <w:rFonts w:hint="eastAsia" w:ascii="宋体" w:hAnsi="宋体" w:eastAsia="宋体" w:cs="宋体"/>
          <w:color w:val="auto"/>
          <w:kern w:val="0"/>
          <w:sz w:val="21"/>
          <w:szCs w:val="21"/>
          <w:highlight w:val="none"/>
          <w:shd w:val="clear" w:color="auto" w:fill="FFFFFF"/>
        </w:rPr>
        <w:t>（一）调查取证。对违纪事实</w:t>
      </w:r>
      <w:r>
        <w:rPr>
          <w:rFonts w:ascii="宋体" w:hAnsi="宋体" w:eastAsia="宋体" w:cs="宋体"/>
          <w:color w:val="auto"/>
          <w:kern w:val="0"/>
          <w:sz w:val="21"/>
          <w:szCs w:val="21"/>
          <w:highlight w:val="none"/>
          <w:shd w:val="clear" w:color="auto" w:fill="FFFFFF"/>
        </w:rPr>
        <w:t>的调查取证应当事实清楚、证据充分。调查取证以学生</w:t>
      </w:r>
      <w:r>
        <w:rPr>
          <w:rFonts w:hint="eastAsia" w:ascii="宋体" w:hAnsi="宋体" w:eastAsia="宋体" w:cs="宋体"/>
          <w:color w:val="auto"/>
          <w:kern w:val="0"/>
          <w:sz w:val="21"/>
          <w:szCs w:val="21"/>
          <w:highlight w:val="none"/>
          <w:shd w:val="clear" w:color="auto" w:fill="FFFFFF"/>
          <w:lang w:eastAsia="zh-CN"/>
        </w:rPr>
        <w:t>管理部门</w:t>
      </w:r>
      <w:r>
        <w:rPr>
          <w:rFonts w:ascii="宋体" w:hAnsi="宋体" w:eastAsia="宋体" w:cs="宋体"/>
          <w:color w:val="auto"/>
          <w:kern w:val="0"/>
          <w:sz w:val="21"/>
          <w:szCs w:val="21"/>
          <w:highlight w:val="none"/>
          <w:shd w:val="clear" w:color="auto" w:fill="FFFFFF"/>
        </w:rPr>
        <w:t>为主，相关职能部门需配合、协助完成调查取证工作。</w:t>
      </w:r>
      <w:r>
        <w:rPr>
          <w:rFonts w:hint="eastAsia" w:ascii="宋体" w:hAnsi="宋体" w:eastAsia="宋体" w:cs="宋体"/>
          <w:color w:val="auto"/>
          <w:kern w:val="0"/>
          <w:sz w:val="21"/>
          <w:szCs w:val="21"/>
          <w:highlight w:val="none"/>
          <w:shd w:val="clear" w:color="auto" w:fill="FFFFFF"/>
          <w:lang w:eastAsia="zh-CN"/>
        </w:rPr>
        <w:t>学生管理部门提供相关事实材料，提出拟处理建议。</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（二）学院作出拟处分意见。对学生的违纪事实调查取证以后</w:t>
      </w:r>
      <w:r>
        <w:rPr>
          <w:rFonts w:hint="eastAsia" w:ascii="宋体" w:hAnsi="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10 个工作日内</w:t>
      </w:r>
      <w:r>
        <w:rPr>
          <w:rFonts w:hint="eastAsia" w:ascii="宋体" w:hAnsi="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学院召开</w:t>
      </w:r>
      <w:r>
        <w:rPr>
          <w:rFonts w:hint="eastAsia" w:ascii="宋体" w:hAnsi="宋体" w:eastAsia="宋体" w:cs="宋体"/>
          <w:color w:val="auto"/>
          <w:kern w:val="0"/>
          <w:sz w:val="21"/>
          <w:szCs w:val="21"/>
          <w:highlight w:val="none"/>
          <w:shd w:val="clear" w:color="auto" w:fill="FFFFFF"/>
          <w:lang w:eastAsia="zh-CN"/>
        </w:rPr>
        <w:t>党政联席会议</w:t>
      </w:r>
      <w:r>
        <w:rPr>
          <w:rFonts w:hint="eastAsia" w:ascii="宋体" w:hAnsi="宋体" w:eastAsia="宋体" w:cs="宋体"/>
          <w:color w:val="auto"/>
          <w:kern w:val="0"/>
          <w:sz w:val="21"/>
          <w:szCs w:val="21"/>
          <w:highlight w:val="none"/>
          <w:shd w:val="clear" w:color="auto" w:fill="FFFFFF"/>
        </w:rPr>
        <w:t>讨论拟处分意见，并告知学生拟处分意见的事实、理由</w:t>
      </w:r>
      <w:r>
        <w:rPr>
          <w:rFonts w:hint="eastAsia" w:ascii="宋体" w:hAnsi="宋体" w:eastAsia="宋体" w:cs="宋体"/>
          <w:color w:val="auto"/>
          <w:kern w:val="0"/>
          <w:sz w:val="21"/>
          <w:szCs w:val="21"/>
          <w:highlight w:val="none"/>
          <w:shd w:val="clear" w:color="auto" w:fill="FFFFFF"/>
          <w:lang w:eastAsia="zh-CN"/>
        </w:rPr>
        <w:t>及</w:t>
      </w:r>
      <w:r>
        <w:rPr>
          <w:rFonts w:hint="eastAsia" w:ascii="宋体" w:hAnsi="宋体" w:eastAsia="宋体" w:cs="宋体"/>
          <w:color w:val="auto"/>
          <w:kern w:val="0"/>
          <w:sz w:val="21"/>
          <w:szCs w:val="21"/>
          <w:highlight w:val="none"/>
          <w:shd w:val="clear" w:color="auto" w:fill="FFFFFF"/>
        </w:rPr>
        <w:t>依据</w:t>
      </w:r>
      <w:r>
        <w:rPr>
          <w:rFonts w:hint="eastAsia" w:ascii="宋体" w:hAnsi="宋体" w:eastAsia="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学生有陈诉和申辩的权利，学院应当听取学生的陈述和申辩，并做好记录。</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（三）学校讨论决定。违纪行为达到警告、严重警告、记过和留校察看处分的，由</w:t>
      </w:r>
      <w:r>
        <w:rPr>
          <w:rFonts w:hint="eastAsia" w:ascii="宋体" w:hAnsi="宋体" w:eastAsia="宋体" w:cs="宋体"/>
          <w:color w:val="auto"/>
          <w:kern w:val="0"/>
          <w:sz w:val="21"/>
          <w:szCs w:val="21"/>
          <w:highlight w:val="none"/>
          <w:shd w:val="clear" w:color="auto" w:fill="FFFFFF"/>
          <w:lang w:val="en-US" w:eastAsia="zh-CN"/>
        </w:rPr>
        <w:t>学院</w:t>
      </w:r>
      <w:r>
        <w:rPr>
          <w:rFonts w:hint="eastAsia" w:ascii="宋体" w:hAnsi="宋体" w:eastAsia="宋体" w:cs="宋体"/>
          <w:color w:val="auto"/>
          <w:kern w:val="0"/>
          <w:sz w:val="21"/>
          <w:szCs w:val="21"/>
          <w:highlight w:val="none"/>
          <w:shd w:val="clear" w:color="auto" w:fill="FFFFFF"/>
        </w:rPr>
        <w:t>及时提交</w:t>
      </w:r>
      <w:r>
        <w:rPr>
          <w:rFonts w:hint="eastAsia" w:ascii="宋体" w:hAnsi="宋体" w:eastAsia="宋体" w:cs="宋体"/>
          <w:color w:val="auto"/>
          <w:kern w:val="0"/>
          <w:sz w:val="21"/>
          <w:szCs w:val="21"/>
          <w:highlight w:val="none"/>
          <w:shd w:val="clear" w:color="auto" w:fill="FFFFFF"/>
          <w:lang w:val="en-US" w:eastAsia="zh-CN"/>
        </w:rPr>
        <w:t>校学历继续教育学生违纪处分小组</w:t>
      </w:r>
      <w:r>
        <w:rPr>
          <w:rFonts w:hint="eastAsia" w:ascii="宋体" w:hAnsi="宋体" w:eastAsia="宋体" w:cs="宋体"/>
          <w:color w:val="auto"/>
          <w:kern w:val="0"/>
          <w:sz w:val="21"/>
          <w:szCs w:val="21"/>
          <w:highlight w:val="none"/>
          <w:shd w:val="clear" w:color="auto" w:fill="FFFFFF"/>
        </w:rPr>
        <w:t>讨论作出处分决定。违纪行为达到开除学籍的，由</w:t>
      </w:r>
      <w:r>
        <w:rPr>
          <w:rFonts w:hint="eastAsia" w:ascii="宋体" w:hAnsi="宋体" w:eastAsia="宋体" w:cs="宋体"/>
          <w:color w:val="auto"/>
          <w:kern w:val="0"/>
          <w:sz w:val="21"/>
          <w:szCs w:val="21"/>
          <w:highlight w:val="none"/>
          <w:shd w:val="clear" w:color="auto" w:fill="FFFFFF"/>
          <w:lang w:val="en-US" w:eastAsia="zh-CN"/>
        </w:rPr>
        <w:t>学院</w:t>
      </w:r>
      <w:r>
        <w:rPr>
          <w:rFonts w:hint="eastAsia" w:ascii="宋体" w:hAnsi="宋体" w:eastAsia="宋体" w:cs="宋体"/>
          <w:color w:val="auto"/>
          <w:kern w:val="0"/>
          <w:sz w:val="21"/>
          <w:szCs w:val="21"/>
          <w:highlight w:val="none"/>
          <w:shd w:val="clear" w:color="auto" w:fill="FFFFFF"/>
        </w:rPr>
        <w:t>及时提交校长办公会讨论作出处分决定，提交之前，应当由法务办公室进行合法性审查。</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w:t>
      </w:r>
      <w:r>
        <w:rPr>
          <w:rFonts w:hint="eastAsia" w:ascii="宋体" w:hAnsi="宋体" w:eastAsia="宋体" w:cs="宋体"/>
          <w:color w:val="auto"/>
          <w:kern w:val="0"/>
          <w:sz w:val="21"/>
          <w:szCs w:val="21"/>
          <w:highlight w:val="none"/>
          <w:shd w:val="clear" w:color="auto" w:fill="FFFFFF"/>
          <w:lang w:val="en-US" w:eastAsia="zh-CN"/>
        </w:rPr>
        <w:t>四</w:t>
      </w:r>
      <w:r>
        <w:rPr>
          <w:rFonts w:hint="eastAsia" w:ascii="宋体" w:hAnsi="宋体" w:eastAsia="宋体" w:cs="宋体"/>
          <w:color w:val="auto"/>
          <w:kern w:val="0"/>
          <w:sz w:val="21"/>
          <w:szCs w:val="21"/>
          <w:highlight w:val="none"/>
          <w:shd w:val="clear" w:color="auto" w:fill="FFFFFF"/>
        </w:rPr>
        <w:t>）送达学生。对学生所作的处分出具处分决定书，由学院送交学生本人。因难于联系或其它特殊原因无法送交本人的，通过学院网站方式公告送达</w:t>
      </w:r>
      <w:r>
        <w:rPr>
          <w:rFonts w:hint="eastAsia" w:ascii="宋体" w:hAnsi="宋体" w:eastAsia="宋体" w:cs="宋体"/>
          <w:color w:val="auto"/>
          <w:kern w:val="0"/>
          <w:sz w:val="21"/>
          <w:szCs w:val="21"/>
          <w:highlight w:val="none"/>
          <w:shd w:val="clear" w:color="auto" w:fill="FFFFFF"/>
          <w:lang w:eastAsia="zh-CN"/>
        </w:rPr>
        <w:t>，公告期为</w:t>
      </w:r>
      <w:r>
        <w:rPr>
          <w:rFonts w:hint="eastAsia" w:ascii="宋体" w:hAnsi="宋体" w:eastAsia="宋体" w:cs="宋体"/>
          <w:color w:val="auto"/>
          <w:kern w:val="0"/>
          <w:sz w:val="21"/>
          <w:szCs w:val="21"/>
          <w:highlight w:val="none"/>
          <w:shd w:val="clear" w:color="auto" w:fill="FFFFFF"/>
          <w:lang w:val="en-US" w:eastAsia="zh-CN"/>
        </w:rPr>
        <w:t>60天，从公告发布之日计起。</w:t>
      </w:r>
      <w:r>
        <w:rPr>
          <w:rFonts w:hint="eastAsia" w:ascii="宋体" w:hAnsi="宋体" w:eastAsia="宋体" w:cs="宋体"/>
          <w:color w:val="auto"/>
          <w:kern w:val="0"/>
          <w:sz w:val="21"/>
          <w:szCs w:val="21"/>
          <w:highlight w:val="none"/>
          <w:shd w:val="clear" w:color="auto" w:fill="FFFFFF"/>
          <w:lang w:eastAsia="zh-CN"/>
        </w:rPr>
        <w:t>公告期满</w:t>
      </w:r>
      <w:r>
        <w:rPr>
          <w:rFonts w:hint="eastAsia" w:ascii="宋体" w:hAnsi="宋体" w:eastAsia="宋体" w:cs="宋体"/>
          <w:color w:val="auto"/>
          <w:kern w:val="0"/>
          <w:sz w:val="21"/>
          <w:szCs w:val="21"/>
          <w:highlight w:val="none"/>
          <w:shd w:val="clear" w:color="auto" w:fill="FFFFFF"/>
        </w:rPr>
        <w:t>，即视为送达。</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w:t>
      </w:r>
      <w:r>
        <w:rPr>
          <w:rFonts w:hint="eastAsia" w:ascii="宋体" w:hAnsi="宋体" w:eastAsia="宋体" w:cs="宋体"/>
          <w:b/>
          <w:bCs/>
          <w:color w:val="auto"/>
          <w:kern w:val="0"/>
          <w:sz w:val="21"/>
          <w:szCs w:val="21"/>
          <w:highlight w:val="none"/>
          <w:shd w:val="clear" w:color="auto" w:fill="FFFFFF"/>
          <w:lang w:eastAsia="zh-CN"/>
        </w:rPr>
        <w:t>二十九</w:t>
      </w:r>
      <w:r>
        <w:rPr>
          <w:rFonts w:hint="eastAsia" w:ascii="宋体" w:hAnsi="宋体" w:eastAsia="宋体" w:cs="宋体"/>
          <w:b/>
          <w:bCs/>
          <w:color w:val="auto"/>
          <w:kern w:val="0"/>
          <w:sz w:val="21"/>
          <w:szCs w:val="21"/>
          <w:highlight w:val="none"/>
          <w:shd w:val="clear" w:color="auto" w:fill="FFFFFF"/>
        </w:rPr>
        <w:t>条</w:t>
      </w:r>
      <w:r>
        <w:rPr>
          <w:rFonts w:hint="eastAsia" w:ascii="宋体" w:hAnsi="宋体" w:eastAsia="宋体" w:cs="宋体"/>
          <w:b/>
          <w:bCs/>
          <w:color w:val="auto"/>
          <w:kern w:val="0"/>
          <w:sz w:val="21"/>
          <w:szCs w:val="21"/>
          <w:highlight w:val="none"/>
          <w:shd w:val="clear" w:color="auto" w:fill="FFFFFF"/>
          <w:lang w:val="en-US" w:eastAsia="zh-CN"/>
        </w:rPr>
        <w:t xml:space="preserve">  </w:t>
      </w:r>
      <w:r>
        <w:rPr>
          <w:rFonts w:hint="eastAsia" w:ascii="宋体" w:hAnsi="宋体" w:eastAsia="宋体" w:cs="宋体"/>
          <w:color w:val="auto"/>
          <w:kern w:val="0"/>
          <w:sz w:val="21"/>
          <w:szCs w:val="21"/>
          <w:highlight w:val="none"/>
          <w:shd w:val="clear" w:color="auto" w:fill="FFFFFF"/>
        </w:rPr>
        <w:t>对学生作出处分，应当出具处分决定书。处分决定书应当包含下列内容：</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（一）学生的基本信息；</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（二）做出处分的事实和证据；</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（三）处分的种类、依据、期限；</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（四）申诉的途径和期限；</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（五）其它必要内容。</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第三十条</w:t>
      </w:r>
      <w:r>
        <w:rPr>
          <w:rFonts w:hint="eastAsia" w:ascii="宋体" w:hAnsi="宋体" w:eastAsia="宋体" w:cs="宋体"/>
          <w:color w:val="auto"/>
          <w:kern w:val="0"/>
          <w:sz w:val="21"/>
          <w:szCs w:val="21"/>
          <w:highlight w:val="none"/>
          <w:shd w:val="clear" w:color="auto" w:fill="FFFFFF"/>
        </w:rPr>
        <w:t xml:space="preserve">  学生对处分决定有异议的</w:t>
      </w:r>
      <w:r>
        <w:rPr>
          <w:rFonts w:hint="eastAsia" w:ascii="宋体" w:hAnsi="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在接到学校处分决定之日起10个工作日内</w:t>
      </w:r>
      <w:r>
        <w:rPr>
          <w:rFonts w:hint="eastAsia" w:ascii="宋体" w:hAnsi="宋体" w:cs="宋体"/>
          <w:color w:val="auto"/>
          <w:kern w:val="0"/>
          <w:sz w:val="21"/>
          <w:szCs w:val="21"/>
          <w:highlight w:val="none"/>
          <w:shd w:val="clear" w:color="auto" w:fill="FFFFFF"/>
          <w:lang w:eastAsia="zh-CN"/>
        </w:rPr>
        <w:t>，</w:t>
      </w:r>
      <w:r>
        <w:rPr>
          <w:rFonts w:hint="eastAsia" w:ascii="宋体" w:hAnsi="宋体" w:eastAsia="宋体" w:cs="宋体"/>
          <w:color w:val="auto"/>
          <w:kern w:val="0"/>
          <w:sz w:val="21"/>
          <w:szCs w:val="21"/>
          <w:highlight w:val="none"/>
          <w:shd w:val="clear" w:color="auto" w:fill="FFFFFF"/>
        </w:rPr>
        <w:t>可以向学校学生申诉处理委员会提出书面申诉，具体按照学校受理学生申诉的相关规定执行。</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w:t>
      </w:r>
      <w:r>
        <w:rPr>
          <w:rFonts w:hint="eastAsia" w:ascii="宋体" w:hAnsi="宋体" w:eastAsia="宋体" w:cs="宋体"/>
          <w:b/>
          <w:bCs/>
          <w:color w:val="auto"/>
          <w:kern w:val="0"/>
          <w:sz w:val="21"/>
          <w:szCs w:val="21"/>
          <w:highlight w:val="none"/>
          <w:shd w:val="clear" w:color="auto" w:fill="FFFFFF"/>
          <w:lang w:eastAsia="zh-CN"/>
        </w:rPr>
        <w:t>三十一</w:t>
      </w:r>
      <w:r>
        <w:rPr>
          <w:rFonts w:hint="eastAsia" w:ascii="宋体" w:hAnsi="宋体" w:eastAsia="宋体" w:cs="宋体"/>
          <w:b/>
          <w:bCs/>
          <w:color w:val="auto"/>
          <w:kern w:val="0"/>
          <w:sz w:val="21"/>
          <w:szCs w:val="21"/>
          <w:highlight w:val="none"/>
          <w:shd w:val="clear" w:color="auto" w:fill="FFFFFF"/>
        </w:rPr>
        <w:t>条</w:t>
      </w:r>
      <w:r>
        <w:rPr>
          <w:rFonts w:hint="eastAsia" w:ascii="宋体" w:hAnsi="宋体" w:eastAsia="宋体" w:cs="宋体"/>
          <w:b w:val="0"/>
          <w:bCs w:val="0"/>
          <w:color w:val="auto"/>
          <w:kern w:val="0"/>
          <w:sz w:val="21"/>
          <w:szCs w:val="21"/>
          <w:highlight w:val="none"/>
          <w:shd w:val="clear" w:color="auto" w:fill="FFFFFF"/>
        </w:rPr>
        <w:t> </w:t>
      </w:r>
      <w:r>
        <w:rPr>
          <w:rFonts w:hint="eastAsia" w:ascii="宋体" w:hAnsi="宋体" w:eastAsia="宋体" w:cs="宋体"/>
          <w:color w:val="auto"/>
          <w:kern w:val="0"/>
          <w:sz w:val="21"/>
          <w:szCs w:val="21"/>
          <w:highlight w:val="none"/>
          <w:shd w:val="clear" w:color="auto" w:fill="FFFFFF"/>
        </w:rPr>
        <w:t>被开除学籍的学生</w:t>
      </w:r>
      <w:r>
        <w:rPr>
          <w:rFonts w:hint="eastAsia" w:ascii="宋体" w:hAnsi="宋体" w:cs="宋体"/>
          <w:color w:val="auto"/>
          <w:kern w:val="0"/>
          <w:sz w:val="21"/>
          <w:szCs w:val="21"/>
          <w:highlight w:val="none"/>
          <w:shd w:val="clear" w:color="auto" w:fill="FFFFFF"/>
          <w:lang w:eastAsia="zh-CN"/>
        </w:rPr>
        <w:t>，</w:t>
      </w:r>
      <w:r>
        <w:rPr>
          <w:rFonts w:ascii="宋体" w:hAnsi="宋体" w:eastAsia="宋体" w:cs="宋体"/>
          <w:color w:val="auto"/>
          <w:kern w:val="0"/>
          <w:sz w:val="21"/>
          <w:szCs w:val="21"/>
          <w:highlight w:val="none"/>
          <w:shd w:val="clear" w:color="auto" w:fill="FFFFFF"/>
        </w:rPr>
        <w:t>应当自收到学校处分决定之日起14日内办理离校手续</w:t>
      </w:r>
      <w:r>
        <w:rPr>
          <w:rFonts w:hint="eastAsia" w:ascii="宋体" w:hAnsi="宋体" w:eastAsia="宋体" w:cs="宋体"/>
          <w:color w:val="auto"/>
          <w:kern w:val="0"/>
          <w:sz w:val="21"/>
          <w:szCs w:val="21"/>
          <w:highlight w:val="none"/>
          <w:shd w:val="clear" w:color="auto" w:fill="FFFFFF"/>
        </w:rPr>
        <w:t>，离校时，由学院发给写实性学习证明。</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jc w:val="left"/>
        <w:textAlignment w:val="auto"/>
        <w:outlineLvl w:val="9"/>
        <w:rPr>
          <w:rFonts w:hint="eastAsia" w:ascii="宋体" w:hAnsi="宋体" w:eastAsia="宋体" w:cs="宋体"/>
          <w:b w:val="0"/>
          <w:bCs w:val="0"/>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w:t>
      </w:r>
      <w:r>
        <w:rPr>
          <w:rFonts w:hint="eastAsia" w:ascii="宋体" w:hAnsi="宋体" w:eastAsia="宋体" w:cs="宋体"/>
          <w:b/>
          <w:bCs/>
          <w:color w:val="auto"/>
          <w:kern w:val="0"/>
          <w:sz w:val="21"/>
          <w:szCs w:val="21"/>
          <w:highlight w:val="none"/>
          <w:shd w:val="clear" w:color="auto" w:fill="FFFFFF"/>
          <w:lang w:eastAsia="zh-CN"/>
        </w:rPr>
        <w:t>三十二</w:t>
      </w:r>
      <w:r>
        <w:rPr>
          <w:rFonts w:hint="eastAsia" w:ascii="宋体" w:hAnsi="宋体" w:eastAsia="宋体" w:cs="宋体"/>
          <w:b/>
          <w:bCs/>
          <w:color w:val="auto"/>
          <w:kern w:val="0"/>
          <w:sz w:val="21"/>
          <w:szCs w:val="21"/>
          <w:highlight w:val="none"/>
          <w:shd w:val="clear" w:color="auto" w:fill="FFFFFF"/>
        </w:rPr>
        <w:t>条</w:t>
      </w:r>
      <w:r>
        <w:rPr>
          <w:rFonts w:hint="eastAsia" w:ascii="宋体" w:hAnsi="宋体" w:eastAsia="宋体" w:cs="宋体"/>
          <w:b w:val="0"/>
          <w:bCs w:val="0"/>
          <w:color w:val="auto"/>
          <w:kern w:val="0"/>
          <w:sz w:val="21"/>
          <w:szCs w:val="21"/>
          <w:highlight w:val="none"/>
          <w:shd w:val="clear" w:color="auto" w:fill="FFFFFF"/>
        </w:rPr>
        <w:t xml:space="preserve">  解除处分程序</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jc w:val="left"/>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（一）拟解除处分者提出申请。在处分期限到期前的15日内，拟解除处分者须向学院提出申请。</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jc w:val="left"/>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（二）学院作出拟解除处分意见。学院在收到申请后，应当在10个工作日内，召开</w:t>
      </w:r>
      <w:r>
        <w:rPr>
          <w:rFonts w:hint="eastAsia" w:ascii="宋体" w:hAnsi="宋体" w:eastAsia="宋体" w:cs="宋体"/>
          <w:color w:val="auto"/>
          <w:kern w:val="0"/>
          <w:sz w:val="21"/>
          <w:szCs w:val="21"/>
          <w:highlight w:val="none"/>
          <w:shd w:val="clear" w:color="auto" w:fill="FFFFFF"/>
          <w:lang w:eastAsia="zh-CN"/>
        </w:rPr>
        <w:t>党政联席会议</w:t>
      </w:r>
      <w:r>
        <w:rPr>
          <w:rFonts w:ascii="宋体" w:hAnsi="宋体" w:eastAsia="宋体" w:cs="宋体"/>
          <w:color w:val="auto"/>
          <w:kern w:val="0"/>
          <w:sz w:val="21"/>
          <w:szCs w:val="21"/>
          <w:highlight w:val="none"/>
          <w:shd w:val="clear" w:color="auto" w:fill="FFFFFF"/>
        </w:rPr>
        <w:t>作出拟解除处分意见，并及时报</w:t>
      </w:r>
      <w:r>
        <w:rPr>
          <w:rFonts w:hint="eastAsia" w:ascii="宋体" w:hAnsi="宋体" w:eastAsia="宋体" w:cs="宋体"/>
          <w:color w:val="auto"/>
          <w:kern w:val="0"/>
          <w:sz w:val="21"/>
          <w:szCs w:val="21"/>
          <w:highlight w:val="none"/>
          <w:shd w:val="clear" w:color="auto" w:fill="FFFFFF"/>
          <w:lang w:val="en-US" w:eastAsia="zh-CN"/>
        </w:rPr>
        <w:t>校学历继续教育学生违纪处分小组</w:t>
      </w:r>
      <w:r>
        <w:rPr>
          <w:rFonts w:ascii="宋体" w:hAnsi="宋体" w:eastAsia="宋体" w:cs="宋体"/>
          <w:color w:val="auto"/>
          <w:kern w:val="0"/>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0" w:firstLineChars="200"/>
        <w:jc w:val="left"/>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color w:val="auto"/>
          <w:kern w:val="0"/>
          <w:sz w:val="21"/>
          <w:szCs w:val="21"/>
          <w:highlight w:val="none"/>
          <w:shd w:val="clear" w:color="auto" w:fill="FFFFFF"/>
        </w:rPr>
        <w:t>（三）学校讨论决定。</w:t>
      </w:r>
      <w:r>
        <w:rPr>
          <w:rFonts w:hint="eastAsia" w:ascii="宋体" w:hAnsi="宋体" w:eastAsia="宋体" w:cs="宋体"/>
          <w:color w:val="auto"/>
          <w:kern w:val="0"/>
          <w:sz w:val="21"/>
          <w:szCs w:val="21"/>
          <w:highlight w:val="none"/>
          <w:shd w:val="clear" w:color="auto" w:fill="FFFFFF"/>
          <w:lang w:val="en-US" w:eastAsia="zh-CN"/>
        </w:rPr>
        <w:t>校学历继续教育学生违纪处分小组</w:t>
      </w:r>
      <w:r>
        <w:rPr>
          <w:rFonts w:ascii="宋体" w:hAnsi="宋体" w:eastAsia="宋体" w:cs="宋体"/>
          <w:color w:val="auto"/>
          <w:kern w:val="0"/>
          <w:sz w:val="21"/>
          <w:szCs w:val="21"/>
          <w:highlight w:val="none"/>
          <w:shd w:val="clear" w:color="auto" w:fill="FFFFFF"/>
        </w:rPr>
        <w:t>收到拟解除处分意见后，应及时召开会议作出解除处分决定。解除处分决定书由学院负责送达学生。</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jc w:val="left"/>
        <w:textAlignment w:val="auto"/>
        <w:outlineLvl w:val="9"/>
        <w:rPr>
          <w:rFonts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w:t>
      </w:r>
      <w:r>
        <w:rPr>
          <w:rFonts w:hint="eastAsia" w:ascii="宋体" w:hAnsi="宋体" w:eastAsia="宋体" w:cs="宋体"/>
          <w:b/>
          <w:bCs/>
          <w:color w:val="auto"/>
          <w:kern w:val="0"/>
          <w:sz w:val="21"/>
          <w:szCs w:val="21"/>
          <w:highlight w:val="none"/>
          <w:shd w:val="clear" w:color="auto" w:fill="FFFFFF"/>
          <w:lang w:eastAsia="zh-CN"/>
        </w:rPr>
        <w:t>三十三</w:t>
      </w:r>
      <w:r>
        <w:rPr>
          <w:rFonts w:hint="eastAsia" w:ascii="宋体" w:hAnsi="宋体" w:eastAsia="宋体" w:cs="宋体"/>
          <w:b/>
          <w:bCs/>
          <w:color w:val="auto"/>
          <w:kern w:val="0"/>
          <w:sz w:val="21"/>
          <w:szCs w:val="21"/>
          <w:highlight w:val="none"/>
          <w:shd w:val="clear" w:color="auto" w:fill="FFFFFF"/>
        </w:rPr>
        <w:t>条</w:t>
      </w:r>
      <w:r>
        <w:rPr>
          <w:rFonts w:hint="eastAsia" w:ascii="宋体" w:hAnsi="宋体" w:eastAsia="宋体" w:cs="宋体"/>
          <w:color w:val="auto"/>
          <w:kern w:val="0"/>
          <w:sz w:val="21"/>
          <w:szCs w:val="21"/>
          <w:highlight w:val="none"/>
          <w:shd w:val="clear" w:color="auto" w:fill="FFFFFF"/>
        </w:rPr>
        <w:t xml:space="preserve">  </w:t>
      </w:r>
      <w:r>
        <w:rPr>
          <w:rFonts w:ascii="宋体" w:hAnsi="宋体" w:eastAsia="宋体" w:cs="宋体"/>
          <w:color w:val="auto"/>
          <w:kern w:val="0"/>
          <w:sz w:val="21"/>
          <w:szCs w:val="21"/>
          <w:highlight w:val="none"/>
          <w:shd w:val="clear" w:color="auto" w:fill="FFFFFF"/>
        </w:rPr>
        <w:t>受留校察看处分学生在其处分期限内，表现较好且无违纪行为，可直接申请解除处分，处分解除后，察看期自动解除。</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w:t>
      </w:r>
      <w:r>
        <w:rPr>
          <w:rFonts w:hint="eastAsia" w:ascii="宋体" w:hAnsi="宋体" w:eastAsia="宋体" w:cs="宋体"/>
          <w:b/>
          <w:bCs/>
          <w:color w:val="auto"/>
          <w:kern w:val="0"/>
          <w:sz w:val="21"/>
          <w:szCs w:val="21"/>
          <w:highlight w:val="none"/>
          <w:shd w:val="clear" w:color="auto" w:fill="FFFFFF"/>
          <w:lang w:eastAsia="zh-CN"/>
        </w:rPr>
        <w:t>三十四</w:t>
      </w:r>
      <w:r>
        <w:rPr>
          <w:rFonts w:hint="eastAsia" w:ascii="宋体" w:hAnsi="宋体" w:eastAsia="宋体" w:cs="宋体"/>
          <w:b/>
          <w:bCs/>
          <w:color w:val="auto"/>
          <w:kern w:val="0"/>
          <w:sz w:val="21"/>
          <w:szCs w:val="21"/>
          <w:highlight w:val="none"/>
          <w:shd w:val="clear" w:color="auto" w:fill="FFFFFF"/>
        </w:rPr>
        <w:t>条</w:t>
      </w:r>
      <w:r>
        <w:rPr>
          <w:rFonts w:hint="eastAsia" w:ascii="宋体" w:hAnsi="宋体" w:eastAsia="宋体" w:cs="宋体"/>
          <w:color w:val="auto"/>
          <w:kern w:val="0"/>
          <w:sz w:val="21"/>
          <w:szCs w:val="21"/>
          <w:highlight w:val="none"/>
          <w:shd w:val="clear" w:color="auto" w:fill="FFFFFF"/>
        </w:rPr>
        <w:t> </w:t>
      </w:r>
      <w:r>
        <w:rPr>
          <w:rFonts w:ascii="宋体" w:hAnsi="宋体" w:eastAsia="宋体" w:cs="宋体"/>
          <w:color w:val="auto"/>
          <w:kern w:val="0"/>
          <w:sz w:val="21"/>
          <w:szCs w:val="21"/>
          <w:highlight w:val="none"/>
          <w:shd w:val="clear" w:color="auto" w:fill="FFFFFF"/>
        </w:rPr>
        <w:t>处分决定、解除处分决定自作出之日起生效。学生的处分及解除处分材料，真实完整地归入学校文书档案和本人</w:t>
      </w:r>
      <w:r>
        <w:rPr>
          <w:rFonts w:hint="eastAsia" w:ascii="宋体" w:hAnsi="宋体" w:eastAsia="宋体" w:cs="宋体"/>
          <w:color w:val="auto"/>
          <w:kern w:val="0"/>
          <w:sz w:val="21"/>
          <w:szCs w:val="21"/>
          <w:highlight w:val="none"/>
          <w:shd w:val="clear" w:color="auto" w:fill="FFFFFF"/>
          <w:lang w:eastAsia="zh-CN"/>
        </w:rPr>
        <w:t>学籍</w:t>
      </w:r>
      <w:r>
        <w:rPr>
          <w:rFonts w:ascii="宋体" w:hAnsi="宋体" w:eastAsia="宋体" w:cs="宋体"/>
          <w:color w:val="auto"/>
          <w:kern w:val="0"/>
          <w:sz w:val="21"/>
          <w:szCs w:val="21"/>
          <w:highlight w:val="none"/>
          <w:shd w:val="clear" w:color="auto" w:fill="FFFFFF"/>
        </w:rPr>
        <w:t>档案</w:t>
      </w:r>
      <w:r>
        <w:rPr>
          <w:rFonts w:hint="eastAsia" w:ascii="宋体" w:hAnsi="宋体" w:eastAsia="宋体" w:cs="宋体"/>
          <w:color w:val="auto"/>
          <w:kern w:val="0"/>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jc w:val="left"/>
        <w:textAlignment w:val="auto"/>
        <w:outlineLvl w:val="9"/>
        <w:rPr>
          <w:rFonts w:ascii="宋体" w:hAnsi="宋体" w:eastAsia="宋体" w:cs="宋体"/>
          <w:color w:val="auto"/>
          <w:kern w:val="0"/>
          <w:sz w:val="21"/>
          <w:szCs w:val="21"/>
          <w:highlight w:val="none"/>
          <w:shd w:val="clear" w:color="auto" w:fill="FFFFFF"/>
        </w:rPr>
      </w:pPr>
      <w:r>
        <w:rPr>
          <w:rFonts w:ascii="宋体" w:hAnsi="宋体" w:eastAsia="宋体" w:cs="宋体"/>
          <w:b/>
          <w:bCs/>
          <w:color w:val="auto"/>
          <w:kern w:val="0"/>
          <w:sz w:val="21"/>
          <w:szCs w:val="21"/>
          <w:highlight w:val="none"/>
          <w:shd w:val="clear" w:color="auto" w:fill="FFFFFF"/>
        </w:rPr>
        <w:t>第</w:t>
      </w:r>
      <w:r>
        <w:rPr>
          <w:rFonts w:hint="eastAsia" w:ascii="宋体" w:hAnsi="宋体" w:eastAsia="宋体" w:cs="宋体"/>
          <w:b/>
          <w:bCs/>
          <w:color w:val="auto"/>
          <w:kern w:val="0"/>
          <w:sz w:val="21"/>
          <w:szCs w:val="21"/>
          <w:highlight w:val="none"/>
          <w:shd w:val="clear" w:color="auto" w:fill="FFFFFF"/>
          <w:lang w:eastAsia="zh-CN"/>
        </w:rPr>
        <w:t>三十五</w:t>
      </w:r>
      <w:r>
        <w:rPr>
          <w:rFonts w:ascii="宋体" w:hAnsi="宋体" w:eastAsia="宋体" w:cs="宋体"/>
          <w:b/>
          <w:bCs/>
          <w:color w:val="auto"/>
          <w:kern w:val="0"/>
          <w:sz w:val="21"/>
          <w:szCs w:val="21"/>
          <w:highlight w:val="none"/>
          <w:shd w:val="clear" w:color="auto" w:fill="FFFFFF"/>
        </w:rPr>
        <w:t>条</w:t>
      </w:r>
      <w:r>
        <w:rPr>
          <w:rFonts w:ascii="宋体" w:hAnsi="宋体" w:eastAsia="宋体" w:cs="宋体"/>
          <w:b w:val="0"/>
          <w:bCs w:val="0"/>
          <w:color w:val="auto"/>
          <w:kern w:val="0"/>
          <w:sz w:val="21"/>
          <w:szCs w:val="21"/>
          <w:highlight w:val="none"/>
          <w:shd w:val="clear" w:color="auto" w:fill="FFFFFF"/>
        </w:rPr>
        <w:t> </w:t>
      </w:r>
      <w:r>
        <w:rPr>
          <w:rFonts w:ascii="宋体" w:hAnsi="宋体" w:eastAsia="宋体" w:cs="宋体"/>
          <w:color w:val="auto"/>
          <w:kern w:val="0"/>
          <w:sz w:val="21"/>
          <w:szCs w:val="21"/>
          <w:highlight w:val="none"/>
          <w:shd w:val="clear" w:color="auto" w:fill="FFFFFF"/>
        </w:rPr>
        <w:t>学生有学术不端行为，其违纪事实的调查、认定和处分程序，按照学校处理学术不端的有关规定执行。</w:t>
      </w:r>
    </w:p>
    <w:p>
      <w:pPr>
        <w:keepNext w:val="0"/>
        <w:keepLines w:val="0"/>
        <w:pageBreakBefore w:val="0"/>
        <w:widowControl w:val="0"/>
        <w:kinsoku/>
        <w:wordWrap/>
        <w:overflowPunct/>
        <w:topLinePunct w:val="0"/>
        <w:autoSpaceDE/>
        <w:autoSpaceDN/>
        <w:bidi w:val="0"/>
        <w:adjustRightInd/>
        <w:snapToGrid w:val="0"/>
        <w:spacing w:beforeLines="0" w:afterLines="0" w:line="360" w:lineRule="auto"/>
        <w:jc w:val="center"/>
        <w:textAlignment w:val="auto"/>
        <w:outlineLvl w:val="9"/>
        <w:rPr>
          <w:rFonts w:hint="eastAsia" w:ascii="宋体" w:hAnsi="宋体" w:eastAsia="宋体" w:cs="宋体"/>
          <w:b/>
          <w:bCs/>
          <w:color w:val="auto"/>
          <w:kern w:val="0"/>
          <w:sz w:val="28"/>
          <w:szCs w:val="28"/>
          <w:highlight w:val="none"/>
          <w:shd w:val="clear" w:color="auto" w:fill="FFFFFF"/>
        </w:rPr>
      </w:pPr>
      <w:r>
        <w:rPr>
          <w:rFonts w:hint="eastAsia" w:ascii="宋体" w:hAnsi="宋体" w:eastAsia="宋体" w:cs="宋体"/>
          <w:b/>
          <w:bCs/>
          <w:color w:val="auto"/>
          <w:kern w:val="0"/>
          <w:sz w:val="28"/>
          <w:szCs w:val="28"/>
          <w:highlight w:val="none"/>
          <w:shd w:val="clear" w:color="auto" w:fill="FFFFFF"/>
        </w:rPr>
        <w:t>第五章 附则</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w:t>
      </w:r>
      <w:r>
        <w:rPr>
          <w:rFonts w:hint="eastAsia" w:ascii="宋体" w:hAnsi="宋体" w:eastAsia="宋体" w:cs="宋体"/>
          <w:b/>
          <w:bCs/>
          <w:color w:val="auto"/>
          <w:kern w:val="0"/>
          <w:sz w:val="21"/>
          <w:szCs w:val="21"/>
          <w:highlight w:val="none"/>
          <w:shd w:val="clear" w:color="auto" w:fill="FFFFFF"/>
          <w:lang w:eastAsia="zh-CN"/>
        </w:rPr>
        <w:t>三十六</w:t>
      </w:r>
      <w:r>
        <w:rPr>
          <w:rFonts w:hint="eastAsia" w:ascii="宋体" w:hAnsi="宋体" w:eastAsia="宋体" w:cs="宋体"/>
          <w:b/>
          <w:bCs/>
          <w:color w:val="auto"/>
          <w:kern w:val="0"/>
          <w:sz w:val="21"/>
          <w:szCs w:val="21"/>
          <w:highlight w:val="none"/>
          <w:shd w:val="clear" w:color="auto" w:fill="FFFFFF"/>
        </w:rPr>
        <w:t>条 </w:t>
      </w:r>
      <w:r>
        <w:rPr>
          <w:rFonts w:hint="eastAsia" w:ascii="宋体" w:hAnsi="宋体" w:eastAsia="宋体" w:cs="宋体"/>
          <w:color w:val="auto"/>
          <w:kern w:val="0"/>
          <w:sz w:val="21"/>
          <w:szCs w:val="21"/>
          <w:highlight w:val="none"/>
          <w:shd w:val="clear" w:color="auto" w:fill="FFFFFF"/>
        </w:rPr>
        <w:t>本规定适用于东华大学学历继续教育注册在籍的各层次学生在校内学习活动的违纪处分，校外的活动按其社会自然人的社会身份依法管理。</w:t>
      </w:r>
    </w:p>
    <w:p>
      <w:pPr>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jc w:val="left"/>
        <w:textAlignment w:val="auto"/>
        <w:outlineLvl w:val="9"/>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b/>
          <w:bCs/>
          <w:color w:val="auto"/>
          <w:kern w:val="0"/>
          <w:sz w:val="21"/>
          <w:szCs w:val="21"/>
          <w:highlight w:val="none"/>
          <w:shd w:val="clear" w:color="auto" w:fill="FFFFFF"/>
        </w:rPr>
        <w:t>第三十</w:t>
      </w:r>
      <w:r>
        <w:rPr>
          <w:rFonts w:hint="eastAsia" w:ascii="宋体" w:hAnsi="宋体" w:eastAsia="宋体" w:cs="宋体"/>
          <w:b/>
          <w:bCs/>
          <w:color w:val="auto"/>
          <w:kern w:val="0"/>
          <w:sz w:val="21"/>
          <w:szCs w:val="21"/>
          <w:highlight w:val="none"/>
          <w:shd w:val="clear" w:color="auto" w:fill="FFFFFF"/>
          <w:lang w:eastAsia="zh-CN"/>
        </w:rPr>
        <w:t>七</w:t>
      </w:r>
      <w:r>
        <w:rPr>
          <w:rFonts w:hint="eastAsia" w:ascii="宋体" w:hAnsi="宋体" w:eastAsia="宋体" w:cs="宋体"/>
          <w:b/>
          <w:bCs/>
          <w:color w:val="auto"/>
          <w:kern w:val="0"/>
          <w:sz w:val="21"/>
          <w:szCs w:val="21"/>
          <w:highlight w:val="none"/>
          <w:shd w:val="clear" w:color="auto" w:fill="FFFFFF"/>
        </w:rPr>
        <w:t>条</w:t>
      </w:r>
      <w:r>
        <w:rPr>
          <w:rFonts w:hint="eastAsia" w:ascii="宋体" w:hAnsi="宋体" w:eastAsia="宋体" w:cs="宋体"/>
          <w:b w:val="0"/>
          <w:bCs w:val="0"/>
          <w:color w:val="auto"/>
          <w:kern w:val="0"/>
          <w:sz w:val="21"/>
          <w:szCs w:val="21"/>
          <w:highlight w:val="none"/>
          <w:shd w:val="clear" w:color="auto" w:fill="FFFFFF"/>
        </w:rPr>
        <w:t> </w:t>
      </w:r>
      <w:r>
        <w:rPr>
          <w:rFonts w:ascii="宋体" w:hAnsi="宋体" w:eastAsia="宋体" w:cs="宋体"/>
          <w:color w:val="auto"/>
          <w:kern w:val="0"/>
          <w:sz w:val="21"/>
          <w:szCs w:val="21"/>
          <w:highlight w:val="none"/>
          <w:shd w:val="clear" w:color="auto" w:fill="FFFFFF"/>
        </w:rPr>
        <w:t>本规定自</w:t>
      </w:r>
      <w:r>
        <w:rPr>
          <w:rFonts w:hint="eastAsia" w:ascii="宋体" w:hAnsi="宋体" w:eastAsia="宋体" w:cs="宋体"/>
          <w:color w:val="auto"/>
          <w:kern w:val="0"/>
          <w:sz w:val="21"/>
          <w:szCs w:val="21"/>
          <w:highlight w:val="none"/>
          <w:shd w:val="clear" w:color="auto" w:fill="FFFFFF"/>
          <w:lang w:eastAsia="zh-CN"/>
        </w:rPr>
        <w:t>公布之</w:t>
      </w:r>
      <w:r>
        <w:rPr>
          <w:rFonts w:ascii="宋体" w:hAnsi="宋体" w:eastAsia="宋体" w:cs="宋体"/>
          <w:color w:val="auto"/>
          <w:kern w:val="0"/>
          <w:sz w:val="21"/>
          <w:szCs w:val="21"/>
          <w:highlight w:val="none"/>
          <w:shd w:val="clear" w:color="auto" w:fill="FFFFFF"/>
        </w:rPr>
        <w:t>日起施行</w:t>
      </w:r>
      <w:r>
        <w:rPr>
          <w:rFonts w:hint="eastAsia" w:ascii="宋体" w:hAnsi="宋体" w:eastAsia="宋体" w:cs="宋体"/>
          <w:color w:val="auto"/>
          <w:kern w:val="0"/>
          <w:sz w:val="21"/>
          <w:szCs w:val="21"/>
          <w:highlight w:val="none"/>
          <w:shd w:val="clear" w:color="auto" w:fill="FFFFFF"/>
        </w:rPr>
        <w:t>，原《</w:t>
      </w:r>
      <w:r>
        <w:rPr>
          <w:rFonts w:hint="eastAsia" w:ascii="宋体" w:hAnsi="宋体" w:eastAsia="宋体" w:cs="宋体"/>
          <w:b w:val="0"/>
          <w:color w:val="auto"/>
          <w:kern w:val="0"/>
          <w:sz w:val="21"/>
          <w:szCs w:val="21"/>
          <w:highlight w:val="none"/>
          <w:shd w:val="clear" w:color="auto" w:fill="FFFFFF"/>
        </w:rPr>
        <w:t>东华大学成人高等教育学生违纪处分条例（试行）</w:t>
      </w:r>
      <w:r>
        <w:rPr>
          <w:rFonts w:hint="eastAsia" w:ascii="宋体" w:hAnsi="宋体" w:eastAsia="宋体" w:cs="宋体"/>
          <w:color w:val="auto"/>
          <w:kern w:val="0"/>
          <w:sz w:val="21"/>
          <w:szCs w:val="21"/>
          <w:highlight w:val="none"/>
          <w:shd w:val="clear" w:color="auto" w:fill="FFFFFF"/>
        </w:rPr>
        <w:t>》、《</w:t>
      </w:r>
      <w:r>
        <w:rPr>
          <w:rStyle w:val="16"/>
          <w:rFonts w:hint="eastAsia" w:ascii="宋体" w:hAnsi="宋体" w:eastAsia="宋体" w:cs="宋体"/>
          <w:color w:val="auto"/>
          <w:kern w:val="0"/>
          <w:sz w:val="21"/>
          <w:szCs w:val="21"/>
          <w:highlight w:val="none"/>
          <w:shd w:val="clear" w:color="auto" w:fill="FFFFFF"/>
        </w:rPr>
        <w:t>东华大学现代远程教育学生违纪处分暂行规定</w:t>
      </w:r>
      <w:r>
        <w:rPr>
          <w:rFonts w:hint="eastAsia" w:ascii="宋体" w:hAnsi="宋体" w:eastAsia="宋体" w:cs="宋体"/>
          <w:color w:val="auto"/>
          <w:kern w:val="0"/>
          <w:sz w:val="21"/>
          <w:szCs w:val="21"/>
          <w:highlight w:val="none"/>
          <w:shd w:val="clear" w:color="auto" w:fill="FFFFFF"/>
        </w:rPr>
        <w:t>》同时废止。</w:t>
      </w:r>
    </w:p>
    <w:p>
      <w:pPr>
        <w:spacing w:beforeLines="0" w:afterLines="0" w:line="360" w:lineRule="auto"/>
        <w:ind w:left="42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shd w:val="clear" w:color="auto" w:fill="FFFFFF"/>
        </w:rPr>
        <w:t>第</w:t>
      </w:r>
      <w:r>
        <w:rPr>
          <w:rFonts w:hint="eastAsia" w:ascii="宋体" w:hAnsi="宋体" w:eastAsia="宋体" w:cs="宋体"/>
          <w:b/>
          <w:bCs/>
          <w:color w:val="auto"/>
          <w:kern w:val="0"/>
          <w:sz w:val="21"/>
          <w:szCs w:val="21"/>
          <w:highlight w:val="none"/>
          <w:shd w:val="clear" w:color="auto" w:fill="FFFFFF"/>
          <w:lang w:eastAsia="zh-CN"/>
        </w:rPr>
        <w:t>三十八</w:t>
      </w:r>
      <w:r>
        <w:rPr>
          <w:rFonts w:hint="eastAsia" w:ascii="宋体" w:hAnsi="宋体" w:eastAsia="宋体" w:cs="宋体"/>
          <w:b/>
          <w:bCs/>
          <w:color w:val="auto"/>
          <w:kern w:val="0"/>
          <w:sz w:val="21"/>
          <w:szCs w:val="21"/>
          <w:highlight w:val="none"/>
          <w:shd w:val="clear" w:color="auto" w:fill="FFFFFF"/>
        </w:rPr>
        <w:t>条</w:t>
      </w:r>
      <w:r>
        <w:rPr>
          <w:rFonts w:hint="eastAsia" w:ascii="宋体" w:hAnsi="宋体" w:eastAsia="宋体" w:cs="宋体"/>
          <w:color w:val="auto"/>
          <w:kern w:val="0"/>
          <w:sz w:val="21"/>
          <w:szCs w:val="21"/>
          <w:highlight w:val="none"/>
          <w:shd w:val="clear" w:color="auto" w:fill="FFFFFF"/>
        </w:rPr>
        <w:t xml:space="preserve">  </w:t>
      </w:r>
      <w:r>
        <w:rPr>
          <w:rFonts w:hint="eastAsia" w:ascii="宋体" w:hAnsi="宋体" w:eastAsia="宋体" w:cs="宋体"/>
          <w:color w:val="auto"/>
          <w:sz w:val="21"/>
          <w:szCs w:val="21"/>
          <w:highlight w:val="none"/>
          <w:lang w:val="en-US" w:eastAsia="zh-CN"/>
        </w:rPr>
        <w:t>本规定</w:t>
      </w:r>
      <w:r>
        <w:rPr>
          <w:rFonts w:hint="eastAsia" w:ascii="宋体" w:hAnsi="宋体" w:eastAsia="宋体" w:cs="宋体"/>
          <w:color w:val="auto"/>
          <w:sz w:val="21"/>
          <w:szCs w:val="21"/>
          <w:highlight w:val="none"/>
        </w:rPr>
        <w:t>解释权归校长办公会议，</w:t>
      </w:r>
      <w:r>
        <w:rPr>
          <w:rFonts w:hint="eastAsia" w:ascii="宋体" w:hAnsi="宋体" w:eastAsia="宋体" w:cs="宋体"/>
          <w:color w:val="auto"/>
          <w:sz w:val="21"/>
          <w:szCs w:val="21"/>
          <w:highlight w:val="none"/>
          <w:lang w:val="en-US" w:eastAsia="zh-CN"/>
        </w:rPr>
        <w:t>由继续教育学院具体负责解释。</w:t>
      </w:r>
    </w:p>
    <w:p>
      <w:pPr>
        <w:spacing w:beforeLines="0" w:afterLines="0" w:line="360" w:lineRule="auto"/>
        <w:ind w:left="420"/>
        <w:jc w:val="left"/>
        <w:rPr>
          <w:rFonts w:hint="eastAsia" w:ascii="宋体" w:hAnsi="宋体" w:eastAsia="宋体" w:cs="宋体"/>
          <w:color w:val="auto"/>
          <w:sz w:val="21"/>
          <w:szCs w:val="21"/>
          <w:highlight w:val="none"/>
          <w:lang w:val="en-US" w:eastAsia="zh-CN"/>
        </w:rPr>
      </w:pPr>
    </w:p>
    <w:p>
      <w:pPr>
        <w:spacing w:beforeLines="0" w:afterLines="0" w:line="360" w:lineRule="auto"/>
        <w:ind w:left="420"/>
        <w:jc w:val="left"/>
        <w:rPr>
          <w:rFonts w:hint="eastAsia" w:ascii="宋体" w:hAnsi="宋体" w:eastAsia="宋体" w:cs="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pStyle w:val="2"/>
        <w:spacing w:before="0" w:after="0"/>
        <w:outlineLvl w:val="0"/>
        <w:rPr>
          <w:rFonts w:hint="eastAsia"/>
          <w:color w:val="auto"/>
          <w:sz w:val="30"/>
          <w:szCs w:val="30"/>
        </w:rPr>
      </w:pPr>
      <w:bookmarkStart w:id="53" w:name="_Toc7581"/>
      <w:bookmarkStart w:id="54" w:name="_Toc25769"/>
      <w:bookmarkStart w:id="55" w:name="_Toc8402"/>
      <w:bookmarkStart w:id="56" w:name="_Toc26400"/>
      <w:bookmarkStart w:id="57" w:name="_Toc407709053"/>
      <w:r>
        <w:rPr>
          <w:rFonts w:hint="eastAsia"/>
          <w:color w:val="auto"/>
          <w:sz w:val="30"/>
          <w:szCs w:val="30"/>
        </w:rPr>
        <w:t>东华大学</w:t>
      </w:r>
      <w:r>
        <w:rPr>
          <w:rFonts w:hint="eastAsia"/>
          <w:color w:val="auto"/>
          <w:sz w:val="30"/>
          <w:szCs w:val="30"/>
          <w:lang w:eastAsia="zh-CN"/>
        </w:rPr>
        <w:t>学历继续</w:t>
      </w:r>
      <w:r>
        <w:rPr>
          <w:rFonts w:hint="eastAsia"/>
          <w:color w:val="auto"/>
          <w:sz w:val="30"/>
          <w:szCs w:val="30"/>
        </w:rPr>
        <w:t>教育学生奖学金评定和荣誉称号授予办法</w:t>
      </w:r>
      <w:bookmarkEnd w:id="53"/>
      <w:bookmarkEnd w:id="54"/>
      <w:bookmarkEnd w:id="55"/>
      <w:bookmarkEnd w:id="56"/>
    </w:p>
    <w:bookmarkEnd w:id="57"/>
    <w:p>
      <w:pPr>
        <w:spacing w:beforeLines="0" w:afterLines="0"/>
        <w:jc w:val="center"/>
        <w:rPr>
          <w:rFonts w:hint="default" w:ascii="Calibri" w:hAnsi="Calibri" w:eastAsia="宋体" w:cs="Times New Roman"/>
          <w:b w:val="0"/>
          <w:bCs w:val="0"/>
          <w:kern w:val="2"/>
          <w:sz w:val="21"/>
          <w:szCs w:val="20"/>
          <w:lang w:val="en-US" w:eastAsia="zh-CN" w:bidi="ar-SA"/>
        </w:rPr>
      </w:pPr>
    </w:p>
    <w:p>
      <w:pPr>
        <w:spacing w:line="360" w:lineRule="auto"/>
        <w:ind w:firstLine="420" w:firstLineChars="200"/>
        <w:rPr>
          <w:rFonts w:ascii="宋体" w:hAnsi="宋体"/>
          <w:color w:val="auto"/>
          <w:sz w:val="21"/>
          <w:szCs w:val="21"/>
        </w:rPr>
      </w:pPr>
      <w:r>
        <w:rPr>
          <w:rFonts w:hint="eastAsia" w:ascii="宋体" w:hAnsi="宋体"/>
          <w:color w:val="auto"/>
          <w:sz w:val="21"/>
          <w:szCs w:val="21"/>
        </w:rPr>
        <w:t>为全面贯彻</w:t>
      </w:r>
      <w:r>
        <w:rPr>
          <w:rFonts w:hint="eastAsia" w:ascii="宋体" w:hAnsi="宋体"/>
          <w:color w:val="auto"/>
          <w:sz w:val="21"/>
          <w:szCs w:val="21"/>
          <w:lang w:eastAsia="zh-CN"/>
        </w:rPr>
        <w:t>国家</w:t>
      </w:r>
      <w:r>
        <w:rPr>
          <w:rFonts w:hint="eastAsia" w:ascii="宋体" w:hAnsi="宋体"/>
          <w:color w:val="auto"/>
          <w:sz w:val="21"/>
          <w:szCs w:val="21"/>
        </w:rPr>
        <w:t>教育方针，进一步调动学生成才的积极性，激励学生勤奋学习，奋发向上，德、智、体、美</w:t>
      </w:r>
      <w:r>
        <w:rPr>
          <w:rFonts w:hint="eastAsia" w:ascii="宋体" w:hAnsi="宋体"/>
          <w:color w:val="auto"/>
          <w:sz w:val="21"/>
          <w:szCs w:val="21"/>
          <w:lang w:eastAsia="zh-CN"/>
        </w:rPr>
        <w:t>、劳</w:t>
      </w:r>
      <w:r>
        <w:rPr>
          <w:rFonts w:hint="eastAsia" w:ascii="宋体" w:hAnsi="宋体"/>
          <w:color w:val="auto"/>
          <w:sz w:val="21"/>
          <w:szCs w:val="21"/>
        </w:rPr>
        <w:t>全面发展，根据我院学历</w:t>
      </w:r>
      <w:r>
        <w:rPr>
          <w:rFonts w:hint="eastAsia" w:ascii="宋体" w:hAnsi="宋体"/>
          <w:color w:val="auto"/>
          <w:sz w:val="21"/>
          <w:szCs w:val="21"/>
          <w:lang w:eastAsia="zh-CN"/>
        </w:rPr>
        <w:t>继续</w:t>
      </w:r>
      <w:r>
        <w:rPr>
          <w:rFonts w:hint="eastAsia" w:ascii="宋体" w:hAnsi="宋体"/>
          <w:color w:val="auto"/>
          <w:sz w:val="21"/>
          <w:szCs w:val="21"/>
        </w:rPr>
        <w:t>教育办学实际，特制订本办法。</w:t>
      </w:r>
    </w:p>
    <w:p>
      <w:pPr>
        <w:spacing w:line="360" w:lineRule="auto"/>
        <w:ind w:firstLine="420" w:firstLineChars="200"/>
        <w:rPr>
          <w:rFonts w:ascii="宋体" w:hAnsi="宋体"/>
          <w:color w:val="auto"/>
          <w:sz w:val="21"/>
          <w:szCs w:val="21"/>
        </w:rPr>
      </w:pPr>
    </w:p>
    <w:p>
      <w:pPr>
        <w:spacing w:line="240" w:lineRule="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一、评选对象</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我院学历</w:t>
      </w:r>
      <w:r>
        <w:rPr>
          <w:rFonts w:hint="eastAsia" w:ascii="宋体" w:hAnsi="宋体"/>
          <w:color w:val="auto"/>
          <w:sz w:val="21"/>
          <w:szCs w:val="21"/>
          <w:lang w:eastAsia="zh-CN"/>
        </w:rPr>
        <w:t>继续</w:t>
      </w:r>
      <w:r>
        <w:rPr>
          <w:rFonts w:hint="eastAsia" w:ascii="宋体" w:hAnsi="宋体"/>
          <w:color w:val="auto"/>
          <w:sz w:val="21"/>
          <w:szCs w:val="21"/>
        </w:rPr>
        <w:t>教育各层次、各专业在籍、注册的学生。</w:t>
      </w:r>
    </w:p>
    <w:p>
      <w:pPr>
        <w:spacing w:line="360" w:lineRule="auto"/>
        <w:ind w:firstLine="420" w:firstLineChars="200"/>
        <w:rPr>
          <w:rFonts w:hint="eastAsia" w:ascii="宋体" w:hAnsi="宋体"/>
          <w:color w:val="auto"/>
          <w:sz w:val="21"/>
          <w:szCs w:val="21"/>
        </w:rPr>
      </w:pPr>
    </w:p>
    <w:p>
      <w:pPr>
        <w:tabs>
          <w:tab w:val="left" w:pos="993"/>
        </w:tabs>
        <w:spacing w:line="240" w:lineRule="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二、奖学金评定</w:t>
      </w:r>
    </w:p>
    <w:p>
      <w:pPr>
        <w:pStyle w:val="33"/>
        <w:numPr>
          <w:ilvl w:val="0"/>
          <w:numId w:val="0"/>
        </w:numPr>
        <w:tabs>
          <w:tab w:val="left" w:pos="1418"/>
        </w:tabs>
        <w:spacing w:line="360" w:lineRule="auto"/>
        <w:ind w:left="0" w:firstLine="0" w:firstLineChars="0"/>
        <w:rPr>
          <w:rFonts w:ascii="宋体" w:hAnsi="宋体"/>
          <w:b/>
          <w:color w:val="auto"/>
          <w:sz w:val="21"/>
          <w:szCs w:val="21"/>
        </w:rPr>
      </w:pPr>
      <w:r>
        <w:rPr>
          <w:rFonts w:hint="eastAsia" w:ascii="宋体" w:hAnsi="宋体"/>
          <w:b/>
          <w:color w:val="auto"/>
          <w:sz w:val="21"/>
          <w:szCs w:val="21"/>
          <w:lang w:eastAsia="zh-CN"/>
        </w:rPr>
        <w:t>（</w:t>
      </w:r>
      <w:r>
        <w:rPr>
          <w:rFonts w:hint="eastAsia" w:ascii="宋体" w:hAnsi="宋体"/>
          <w:b/>
          <w:color w:val="auto"/>
          <w:sz w:val="21"/>
          <w:szCs w:val="21"/>
          <w:lang w:val="en-US" w:eastAsia="zh-CN"/>
        </w:rPr>
        <w:t>一</w:t>
      </w:r>
      <w:r>
        <w:rPr>
          <w:rFonts w:hint="eastAsia" w:ascii="宋体" w:hAnsi="宋体"/>
          <w:b/>
          <w:color w:val="auto"/>
          <w:sz w:val="21"/>
          <w:szCs w:val="21"/>
          <w:lang w:eastAsia="zh-CN"/>
        </w:rPr>
        <w:t>）</w:t>
      </w:r>
      <w:r>
        <w:rPr>
          <w:rFonts w:hint="eastAsia" w:ascii="宋体" w:hAnsi="宋体"/>
          <w:b/>
          <w:color w:val="auto"/>
          <w:sz w:val="21"/>
          <w:szCs w:val="21"/>
        </w:rPr>
        <w:t>在校生奖学金</w:t>
      </w:r>
    </w:p>
    <w:p>
      <w:pPr>
        <w:pStyle w:val="33"/>
        <w:numPr>
          <w:ilvl w:val="0"/>
          <w:numId w:val="1"/>
        </w:numPr>
        <w:tabs>
          <w:tab w:val="left" w:pos="993"/>
        </w:tabs>
        <w:spacing w:line="360" w:lineRule="auto"/>
        <w:ind w:firstLineChars="0"/>
        <w:rPr>
          <w:rFonts w:ascii="宋体" w:hAnsi="宋体"/>
          <w:color w:val="auto"/>
          <w:sz w:val="21"/>
          <w:szCs w:val="21"/>
        </w:rPr>
      </w:pPr>
      <w:r>
        <w:rPr>
          <w:rFonts w:hint="eastAsia" w:ascii="宋体" w:hAnsi="宋体"/>
          <w:color w:val="auto"/>
          <w:sz w:val="21"/>
          <w:szCs w:val="21"/>
        </w:rPr>
        <w:t>学习优秀奖</w:t>
      </w:r>
    </w:p>
    <w:p>
      <w:pPr>
        <w:pStyle w:val="33"/>
        <w:tabs>
          <w:tab w:val="left" w:pos="993"/>
        </w:tabs>
        <w:spacing w:line="360" w:lineRule="auto"/>
        <w:ind w:firstLine="426" w:firstLineChars="203"/>
        <w:rPr>
          <w:rFonts w:ascii="宋体" w:hAnsi="宋体"/>
          <w:color w:val="auto"/>
          <w:sz w:val="21"/>
          <w:szCs w:val="21"/>
        </w:rPr>
      </w:pPr>
      <w:r>
        <w:rPr>
          <w:rFonts w:hint="eastAsia" w:ascii="宋体" w:hAnsi="宋体"/>
          <w:color w:val="auto"/>
          <w:sz w:val="21"/>
          <w:szCs w:val="21"/>
        </w:rPr>
        <w:t>评选条件：学习勤奋，踏实认真；课程成绩优良，成绩排名位于专业前5%；在学习过程中积极参与学习</w:t>
      </w:r>
      <w:r>
        <w:rPr>
          <w:rFonts w:hint="eastAsia" w:ascii="宋体" w:hAnsi="宋体"/>
          <w:color w:val="auto"/>
          <w:sz w:val="21"/>
          <w:szCs w:val="21"/>
          <w:lang w:eastAsia="zh-CN"/>
        </w:rPr>
        <w:t>交流</w:t>
      </w:r>
      <w:r>
        <w:rPr>
          <w:rFonts w:hint="eastAsia" w:ascii="宋体" w:hAnsi="宋体"/>
          <w:color w:val="auto"/>
          <w:sz w:val="21"/>
          <w:szCs w:val="21"/>
        </w:rPr>
        <w:t>和讨论；关心集体、团结同学，积极参加班级、学院的各项活动。</w:t>
      </w:r>
    </w:p>
    <w:p>
      <w:pPr>
        <w:tabs>
          <w:tab w:val="left" w:pos="993"/>
        </w:tabs>
        <w:spacing w:line="360" w:lineRule="auto"/>
        <w:ind w:firstLine="420" w:firstLineChars="200"/>
        <w:rPr>
          <w:rFonts w:hint="eastAsia" w:ascii="宋体" w:hAnsi="宋体"/>
          <w:color w:val="auto"/>
          <w:sz w:val="21"/>
          <w:szCs w:val="21"/>
        </w:rPr>
      </w:pPr>
      <w:r>
        <w:rPr>
          <w:rFonts w:hint="eastAsia" w:ascii="宋体" w:hAnsi="宋体"/>
          <w:color w:val="auto"/>
          <w:sz w:val="21"/>
          <w:szCs w:val="21"/>
        </w:rPr>
        <w:t>评选比例：不超过专业人数的3%。</w:t>
      </w:r>
    </w:p>
    <w:p>
      <w:pPr>
        <w:pStyle w:val="33"/>
        <w:numPr>
          <w:ilvl w:val="0"/>
          <w:numId w:val="1"/>
        </w:numPr>
        <w:tabs>
          <w:tab w:val="left" w:pos="993"/>
        </w:tabs>
        <w:spacing w:line="360" w:lineRule="auto"/>
        <w:ind w:firstLineChars="0"/>
        <w:rPr>
          <w:rFonts w:ascii="宋体" w:hAnsi="宋体"/>
          <w:color w:val="auto"/>
          <w:sz w:val="21"/>
          <w:szCs w:val="21"/>
        </w:rPr>
      </w:pPr>
      <w:r>
        <w:rPr>
          <w:rFonts w:hint="eastAsia" w:ascii="宋体" w:hAnsi="宋体"/>
          <w:color w:val="auto"/>
          <w:sz w:val="21"/>
          <w:szCs w:val="21"/>
        </w:rPr>
        <w:t>班级工作优秀奖</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评选条件：在班级担任班干部，任期至少满两个学期；诚信、友善，道德品质优良；热心为同学服务，能出色完成班级管理的各项任务；积极组织班级活动，起组织带头作用；在读期间学习成绩良好，受到师生的好评和认可。</w:t>
      </w:r>
    </w:p>
    <w:p>
      <w:pPr>
        <w:pStyle w:val="33"/>
        <w:numPr>
          <w:ilvl w:val="0"/>
          <w:numId w:val="1"/>
        </w:numPr>
        <w:tabs>
          <w:tab w:val="left" w:pos="993"/>
        </w:tabs>
        <w:spacing w:line="360" w:lineRule="auto"/>
        <w:ind w:firstLineChars="0"/>
        <w:rPr>
          <w:rFonts w:ascii="宋体" w:hAnsi="宋体"/>
          <w:color w:val="auto"/>
          <w:sz w:val="21"/>
          <w:szCs w:val="21"/>
        </w:rPr>
      </w:pPr>
      <w:r>
        <w:rPr>
          <w:rFonts w:hint="eastAsia" w:ascii="宋体" w:hAnsi="宋体"/>
          <w:color w:val="auto"/>
          <w:sz w:val="21"/>
          <w:szCs w:val="21"/>
        </w:rPr>
        <w:t>社会活动优秀奖</w:t>
      </w:r>
    </w:p>
    <w:p>
      <w:pPr>
        <w:spacing w:line="360" w:lineRule="auto"/>
        <w:ind w:firstLine="570"/>
        <w:rPr>
          <w:rFonts w:hint="eastAsia" w:ascii="宋体" w:hAnsi="宋体"/>
          <w:color w:val="auto"/>
          <w:sz w:val="21"/>
          <w:szCs w:val="21"/>
        </w:rPr>
      </w:pPr>
      <w:r>
        <w:rPr>
          <w:rFonts w:hint="eastAsia" w:ascii="宋体" w:hAnsi="宋体"/>
          <w:color w:val="auto"/>
          <w:sz w:val="21"/>
          <w:szCs w:val="21"/>
        </w:rPr>
        <w:t>评选条件：</w:t>
      </w:r>
      <w:r>
        <w:rPr>
          <w:rFonts w:hint="eastAsia" w:ascii="宋体" w:hAnsi="宋体"/>
          <w:color w:val="auto"/>
          <w:sz w:val="21"/>
          <w:szCs w:val="21"/>
          <w:lang w:eastAsia="zh-CN"/>
        </w:rPr>
        <w:t>在读期间</w:t>
      </w:r>
      <w:r>
        <w:rPr>
          <w:rFonts w:hint="eastAsia" w:ascii="宋体" w:hAnsi="宋体"/>
          <w:color w:val="auto"/>
          <w:sz w:val="21"/>
          <w:szCs w:val="21"/>
        </w:rPr>
        <w:t>参加地市级及以上的文体竞赛、征文比赛、艺术展演、辩论赛等活动，获得三级及以上奖励或荣誉称号，可申请社会活动优秀奖。</w:t>
      </w:r>
    </w:p>
    <w:p>
      <w:pPr>
        <w:pStyle w:val="33"/>
        <w:numPr>
          <w:ilvl w:val="0"/>
          <w:numId w:val="1"/>
        </w:numPr>
        <w:tabs>
          <w:tab w:val="left" w:pos="993"/>
        </w:tabs>
        <w:spacing w:line="360" w:lineRule="auto"/>
        <w:ind w:firstLineChars="0"/>
        <w:rPr>
          <w:rFonts w:ascii="宋体" w:hAnsi="宋体"/>
          <w:color w:val="auto"/>
          <w:sz w:val="21"/>
          <w:szCs w:val="21"/>
        </w:rPr>
      </w:pPr>
      <w:r>
        <w:rPr>
          <w:rFonts w:hint="eastAsia" w:ascii="宋体" w:hAnsi="宋体"/>
          <w:color w:val="auto"/>
          <w:sz w:val="21"/>
          <w:szCs w:val="21"/>
        </w:rPr>
        <w:t>精神文明奖</w:t>
      </w:r>
    </w:p>
    <w:p>
      <w:pPr>
        <w:spacing w:line="360" w:lineRule="auto"/>
        <w:ind w:firstLine="420"/>
        <w:rPr>
          <w:rFonts w:hint="eastAsia" w:ascii="宋体" w:hAnsi="宋体"/>
          <w:color w:val="auto"/>
          <w:sz w:val="21"/>
          <w:szCs w:val="21"/>
        </w:rPr>
      </w:pPr>
      <w:r>
        <w:rPr>
          <w:rFonts w:hint="eastAsia" w:ascii="宋体" w:hAnsi="宋体"/>
          <w:color w:val="auto"/>
          <w:sz w:val="21"/>
          <w:szCs w:val="21"/>
        </w:rPr>
        <w:t>评选条件：</w:t>
      </w:r>
      <w:r>
        <w:rPr>
          <w:rFonts w:hint="eastAsia" w:ascii="宋体" w:hAnsi="宋体"/>
          <w:color w:val="auto"/>
          <w:sz w:val="21"/>
          <w:szCs w:val="21"/>
          <w:lang w:eastAsia="zh-CN"/>
        </w:rPr>
        <w:t>在读期间</w:t>
      </w:r>
      <w:r>
        <w:rPr>
          <w:rFonts w:hint="eastAsia" w:ascii="宋体" w:hAnsi="宋体"/>
          <w:color w:val="auto"/>
          <w:sz w:val="21"/>
          <w:szCs w:val="21"/>
        </w:rPr>
        <w:t>有出色行为，如见义勇为、拾金不昧、青年志愿者服务等先进事迹，受到地市级及以上有关部门表彰的学生，可申请精神文明奖。</w:t>
      </w:r>
    </w:p>
    <w:p>
      <w:pPr>
        <w:spacing w:line="360" w:lineRule="auto"/>
        <w:rPr>
          <w:rFonts w:ascii="宋体" w:hAnsi="宋体"/>
          <w:color w:val="auto"/>
          <w:sz w:val="21"/>
          <w:szCs w:val="21"/>
        </w:rPr>
      </w:pPr>
      <w:r>
        <w:rPr>
          <w:rFonts w:hint="eastAsia" w:ascii="宋体" w:hAnsi="宋体"/>
          <w:color w:val="auto"/>
          <w:sz w:val="21"/>
          <w:szCs w:val="21"/>
        </w:rPr>
        <w:t xml:space="preserve">    </w:t>
      </w:r>
      <w:r>
        <w:rPr>
          <w:rFonts w:ascii="宋体" w:hAnsi="宋体"/>
          <w:color w:val="auto"/>
          <w:sz w:val="21"/>
          <w:szCs w:val="21"/>
        </w:rPr>
        <w:t>在校生奖学金中的学习</w:t>
      </w:r>
      <w:r>
        <w:rPr>
          <w:rFonts w:hint="eastAsia" w:ascii="宋体" w:hAnsi="宋体"/>
          <w:color w:val="auto"/>
          <w:sz w:val="21"/>
          <w:szCs w:val="21"/>
        </w:rPr>
        <w:t>优秀奖</w:t>
      </w:r>
      <w:r>
        <w:rPr>
          <w:rFonts w:ascii="宋体" w:hAnsi="宋体"/>
          <w:color w:val="auto"/>
          <w:sz w:val="21"/>
          <w:szCs w:val="21"/>
        </w:rPr>
        <w:t>和班级工作优秀奖在学生入学后第</w:t>
      </w:r>
      <w:r>
        <w:rPr>
          <w:rFonts w:hint="eastAsia" w:ascii="宋体" w:hAnsi="宋体"/>
          <w:color w:val="auto"/>
          <w:sz w:val="21"/>
          <w:szCs w:val="21"/>
          <w:lang w:eastAsia="zh-CN"/>
        </w:rPr>
        <w:t>三</w:t>
      </w:r>
      <w:r>
        <w:rPr>
          <w:rFonts w:ascii="宋体" w:hAnsi="宋体"/>
          <w:color w:val="auto"/>
          <w:sz w:val="21"/>
          <w:szCs w:val="21"/>
        </w:rPr>
        <w:t>学期评选一次</w:t>
      </w:r>
      <w:r>
        <w:rPr>
          <w:rFonts w:hint="eastAsia" w:ascii="宋体" w:hAnsi="宋体"/>
          <w:color w:val="auto"/>
          <w:sz w:val="21"/>
          <w:szCs w:val="21"/>
        </w:rPr>
        <w:t>（高起本学生</w:t>
      </w:r>
      <w:r>
        <w:rPr>
          <w:rFonts w:hint="eastAsia" w:ascii="宋体" w:hAnsi="宋体"/>
          <w:color w:val="auto"/>
          <w:sz w:val="21"/>
          <w:szCs w:val="21"/>
          <w:lang w:eastAsia="zh-CN"/>
        </w:rPr>
        <w:t>第七学期增加一次评选</w:t>
      </w:r>
      <w:r>
        <w:rPr>
          <w:rFonts w:hint="eastAsia" w:ascii="宋体" w:hAnsi="宋体"/>
          <w:color w:val="auto"/>
          <w:sz w:val="21"/>
          <w:szCs w:val="21"/>
        </w:rPr>
        <w:t>）</w:t>
      </w:r>
      <w:r>
        <w:rPr>
          <w:rFonts w:ascii="宋体" w:hAnsi="宋体"/>
          <w:color w:val="auto"/>
          <w:sz w:val="21"/>
          <w:szCs w:val="21"/>
        </w:rPr>
        <w:t>；社会活动优秀奖、精神文明奖在各次在校生奖学金评选期间均可申请，但学生所获每个奖励或荣誉只可申请一次。</w:t>
      </w:r>
    </w:p>
    <w:p>
      <w:pPr>
        <w:pStyle w:val="33"/>
        <w:numPr>
          <w:ilvl w:val="0"/>
          <w:numId w:val="0"/>
        </w:numPr>
        <w:tabs>
          <w:tab w:val="left" w:pos="1418"/>
        </w:tabs>
        <w:spacing w:line="360" w:lineRule="auto"/>
        <w:ind w:left="0" w:firstLine="0" w:firstLineChars="0"/>
        <w:rPr>
          <w:rFonts w:hint="eastAsia" w:ascii="宋体" w:hAnsi="宋体"/>
          <w:b/>
          <w:color w:val="auto"/>
          <w:sz w:val="21"/>
          <w:szCs w:val="21"/>
          <w:lang w:eastAsia="zh-CN"/>
        </w:rPr>
      </w:pPr>
    </w:p>
    <w:p>
      <w:pPr>
        <w:pStyle w:val="33"/>
        <w:numPr>
          <w:ilvl w:val="0"/>
          <w:numId w:val="0"/>
        </w:numPr>
        <w:tabs>
          <w:tab w:val="left" w:pos="1418"/>
        </w:tabs>
        <w:spacing w:line="360" w:lineRule="auto"/>
        <w:ind w:left="0" w:firstLine="0" w:firstLineChars="0"/>
        <w:rPr>
          <w:rFonts w:ascii="宋体" w:hAnsi="宋体"/>
          <w:b/>
          <w:color w:val="auto"/>
          <w:sz w:val="21"/>
          <w:szCs w:val="21"/>
        </w:rPr>
      </w:pPr>
      <w:r>
        <w:rPr>
          <w:rFonts w:hint="eastAsia" w:ascii="宋体" w:hAnsi="宋体"/>
          <w:b/>
          <w:color w:val="auto"/>
          <w:sz w:val="21"/>
          <w:szCs w:val="21"/>
          <w:lang w:eastAsia="zh-CN"/>
        </w:rPr>
        <w:t>（</w:t>
      </w:r>
      <w:r>
        <w:rPr>
          <w:rFonts w:hint="eastAsia" w:ascii="宋体" w:hAnsi="宋体"/>
          <w:b/>
          <w:color w:val="auto"/>
          <w:sz w:val="21"/>
          <w:szCs w:val="21"/>
          <w:lang w:val="en-US" w:eastAsia="zh-CN"/>
        </w:rPr>
        <w:t>二</w:t>
      </w:r>
      <w:r>
        <w:rPr>
          <w:rFonts w:hint="eastAsia" w:ascii="宋体" w:hAnsi="宋体"/>
          <w:b/>
          <w:color w:val="auto"/>
          <w:sz w:val="21"/>
          <w:szCs w:val="21"/>
          <w:lang w:eastAsia="zh-CN"/>
        </w:rPr>
        <w:t>）</w:t>
      </w:r>
      <w:r>
        <w:rPr>
          <w:rFonts w:hint="eastAsia" w:ascii="宋体" w:hAnsi="宋体"/>
          <w:b/>
          <w:color w:val="auto"/>
          <w:sz w:val="21"/>
          <w:szCs w:val="21"/>
        </w:rPr>
        <w:t>毕业生奖学金</w:t>
      </w:r>
    </w:p>
    <w:p>
      <w:pPr>
        <w:pStyle w:val="33"/>
        <w:numPr>
          <w:ilvl w:val="1"/>
          <w:numId w:val="2"/>
        </w:numPr>
        <w:tabs>
          <w:tab w:val="left" w:pos="993"/>
        </w:tabs>
        <w:spacing w:line="360" w:lineRule="auto"/>
        <w:ind w:left="0" w:firstLine="567" w:firstLineChars="0"/>
        <w:rPr>
          <w:rFonts w:ascii="宋体" w:hAnsi="宋体"/>
          <w:color w:val="auto"/>
          <w:sz w:val="21"/>
          <w:szCs w:val="21"/>
        </w:rPr>
      </w:pPr>
      <w:r>
        <w:rPr>
          <w:rFonts w:hint="eastAsia" w:ascii="宋体" w:hAnsi="宋体"/>
          <w:color w:val="auto"/>
          <w:sz w:val="21"/>
          <w:szCs w:val="21"/>
        </w:rPr>
        <w:t>“优秀毕业生”荣誉称号</w:t>
      </w:r>
    </w:p>
    <w:p>
      <w:pPr>
        <w:tabs>
          <w:tab w:val="left" w:pos="993"/>
        </w:tabs>
        <w:spacing w:line="360" w:lineRule="auto"/>
        <w:rPr>
          <w:rFonts w:ascii="宋体" w:hAnsi="宋体"/>
          <w:color w:val="auto"/>
          <w:sz w:val="21"/>
          <w:szCs w:val="21"/>
        </w:rPr>
      </w:pPr>
      <w:r>
        <w:rPr>
          <w:rFonts w:hint="eastAsia" w:ascii="宋体" w:hAnsi="宋体"/>
          <w:color w:val="auto"/>
          <w:sz w:val="21"/>
          <w:szCs w:val="21"/>
        </w:rPr>
        <w:t xml:space="preserve">    评选条件：在读期间课程成绩优良，符合学习</w:t>
      </w:r>
      <w:r>
        <w:rPr>
          <w:rFonts w:hint="eastAsia" w:ascii="宋体" w:hAnsi="宋体"/>
          <w:color w:val="auto"/>
          <w:sz w:val="21"/>
          <w:szCs w:val="21"/>
          <w:lang w:eastAsia="zh-CN"/>
        </w:rPr>
        <w:t>优秀</w:t>
      </w:r>
      <w:r>
        <w:rPr>
          <w:rFonts w:hint="eastAsia" w:ascii="宋体" w:hAnsi="宋体"/>
          <w:color w:val="auto"/>
          <w:sz w:val="21"/>
          <w:szCs w:val="21"/>
        </w:rPr>
        <w:t>奖评选条件；</w:t>
      </w:r>
      <w:r>
        <w:rPr>
          <w:rFonts w:hint="eastAsia" w:ascii="宋体" w:hAnsi="宋体"/>
          <w:color w:val="auto"/>
          <w:sz w:val="21"/>
          <w:szCs w:val="21"/>
          <w:lang w:eastAsia="zh-CN"/>
        </w:rPr>
        <w:t>同时</w:t>
      </w:r>
      <w:r>
        <w:rPr>
          <w:rFonts w:hint="eastAsia" w:ascii="宋体" w:hAnsi="宋体"/>
          <w:color w:val="auto"/>
          <w:sz w:val="21"/>
          <w:szCs w:val="21"/>
        </w:rPr>
        <w:t>还须具备以下条件：（1）</w:t>
      </w:r>
      <w:r>
        <w:rPr>
          <w:rFonts w:hint="eastAsia" w:ascii="宋体" w:hAnsi="宋体"/>
          <w:color w:val="auto"/>
          <w:sz w:val="21"/>
          <w:szCs w:val="21"/>
          <w:lang w:eastAsia="zh-CN"/>
        </w:rPr>
        <w:t>公开</w:t>
      </w:r>
      <w:r>
        <w:rPr>
          <w:rFonts w:hint="eastAsia" w:ascii="宋体" w:hAnsi="宋体"/>
          <w:color w:val="auto"/>
          <w:sz w:val="21"/>
          <w:szCs w:val="21"/>
        </w:rPr>
        <w:t>发表论文或毕业论文（设计）成绩达到</w:t>
      </w:r>
      <w:r>
        <w:rPr>
          <w:rFonts w:hint="eastAsia" w:ascii="宋体" w:hAnsi="宋体"/>
          <w:color w:val="auto"/>
          <w:sz w:val="21"/>
          <w:szCs w:val="21"/>
          <w:lang w:val="en-US" w:eastAsia="zh-CN"/>
        </w:rPr>
        <w:t>80分</w:t>
      </w:r>
      <w:r>
        <w:rPr>
          <w:rFonts w:hint="eastAsia" w:ascii="宋体" w:hAnsi="宋体"/>
          <w:color w:val="auto"/>
          <w:sz w:val="21"/>
          <w:szCs w:val="21"/>
        </w:rPr>
        <w:t>；（2）具有成人高等教育学士学位申请资格。</w:t>
      </w:r>
    </w:p>
    <w:p>
      <w:pPr>
        <w:tabs>
          <w:tab w:val="left" w:pos="993"/>
        </w:tabs>
        <w:spacing w:line="360" w:lineRule="auto"/>
        <w:ind w:firstLine="420"/>
        <w:rPr>
          <w:rFonts w:hint="eastAsia" w:ascii="宋体" w:hAnsi="宋体"/>
          <w:color w:val="auto"/>
          <w:sz w:val="21"/>
          <w:szCs w:val="21"/>
        </w:rPr>
      </w:pPr>
      <w:r>
        <w:rPr>
          <w:rFonts w:hint="eastAsia" w:ascii="宋体" w:hAnsi="宋体"/>
          <w:color w:val="auto"/>
          <w:sz w:val="21"/>
          <w:szCs w:val="21"/>
        </w:rPr>
        <w:t>评选比例：不超过毕业生人数的3%。</w:t>
      </w:r>
    </w:p>
    <w:p>
      <w:pPr>
        <w:numPr>
          <w:ilvl w:val="1"/>
          <w:numId w:val="2"/>
        </w:numPr>
        <w:tabs>
          <w:tab w:val="left" w:pos="993"/>
        </w:tabs>
        <w:spacing w:line="360" w:lineRule="auto"/>
        <w:ind w:left="0" w:leftChars="0" w:firstLine="567" w:firstLineChars="0"/>
        <w:rPr>
          <w:rFonts w:hint="eastAsia" w:ascii="宋体" w:hAnsi="宋体"/>
          <w:color w:val="auto"/>
          <w:sz w:val="21"/>
          <w:szCs w:val="21"/>
        </w:rPr>
      </w:pPr>
      <w:r>
        <w:rPr>
          <w:rFonts w:hint="eastAsia" w:ascii="宋体" w:hAnsi="宋体"/>
          <w:color w:val="auto"/>
          <w:sz w:val="21"/>
          <w:szCs w:val="21"/>
        </w:rPr>
        <w:t>“优秀学生干部”荣誉称号</w:t>
      </w:r>
    </w:p>
    <w:p>
      <w:pPr>
        <w:numPr>
          <w:ilvl w:val="0"/>
          <w:numId w:val="0"/>
        </w:numPr>
        <w:tabs>
          <w:tab w:val="left" w:pos="993"/>
        </w:tabs>
        <w:spacing w:line="360" w:lineRule="auto"/>
        <w:ind w:firstLine="420" w:firstLineChars="200"/>
        <w:rPr>
          <w:rFonts w:hint="eastAsia" w:ascii="宋体" w:hAnsi="宋体"/>
          <w:color w:val="auto"/>
          <w:sz w:val="21"/>
          <w:szCs w:val="21"/>
        </w:rPr>
      </w:pPr>
      <w:r>
        <w:rPr>
          <w:rFonts w:hint="eastAsia" w:ascii="宋体" w:hAnsi="宋体"/>
          <w:color w:val="auto"/>
          <w:sz w:val="21"/>
          <w:szCs w:val="21"/>
        </w:rPr>
        <w:t>评选条件：现任班干部，任期至少满两个学期，并符合班级工作优秀奖评选条件。</w:t>
      </w:r>
    </w:p>
    <w:p>
      <w:pPr>
        <w:tabs>
          <w:tab w:val="left" w:pos="993"/>
        </w:tabs>
        <w:spacing w:line="360" w:lineRule="auto"/>
        <w:ind w:firstLine="420" w:firstLineChars="200"/>
        <w:rPr>
          <w:rFonts w:ascii="宋体" w:hAnsi="宋体"/>
          <w:color w:val="auto"/>
          <w:sz w:val="21"/>
          <w:szCs w:val="21"/>
        </w:rPr>
      </w:pPr>
      <w:r>
        <w:rPr>
          <w:rFonts w:ascii="宋体" w:hAnsi="宋体"/>
          <w:color w:val="auto"/>
          <w:sz w:val="21"/>
          <w:szCs w:val="21"/>
        </w:rPr>
        <w:t>毕业生奖学金在</w:t>
      </w:r>
      <w:r>
        <w:rPr>
          <w:rFonts w:hint="eastAsia" w:ascii="宋体" w:hAnsi="宋体"/>
          <w:color w:val="auto"/>
          <w:sz w:val="21"/>
          <w:szCs w:val="21"/>
          <w:lang w:eastAsia="zh-CN"/>
        </w:rPr>
        <w:t>毕业年级最后一学期（专升本第五学期，高起本第十学期）进行</w:t>
      </w:r>
      <w:r>
        <w:rPr>
          <w:rFonts w:ascii="宋体" w:hAnsi="宋体"/>
          <w:color w:val="auto"/>
          <w:sz w:val="21"/>
          <w:szCs w:val="21"/>
        </w:rPr>
        <w:t>评选。</w:t>
      </w:r>
    </w:p>
    <w:p>
      <w:pPr>
        <w:tabs>
          <w:tab w:val="left" w:pos="993"/>
        </w:tabs>
        <w:spacing w:line="360" w:lineRule="auto"/>
        <w:ind w:firstLine="570"/>
        <w:rPr>
          <w:rFonts w:ascii="宋体" w:hAnsi="宋体"/>
          <w:color w:val="auto"/>
          <w:sz w:val="21"/>
          <w:szCs w:val="21"/>
        </w:rPr>
      </w:pPr>
    </w:p>
    <w:p>
      <w:pPr>
        <w:spacing w:line="240" w:lineRule="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三、程序</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1、学院公布评选条件。</w:t>
      </w:r>
    </w:p>
    <w:p>
      <w:pPr>
        <w:spacing w:line="360" w:lineRule="auto"/>
        <w:ind w:firstLine="420" w:firstLineChars="200"/>
        <w:rPr>
          <w:rFonts w:ascii="宋体" w:hAnsi="宋体"/>
          <w:color w:val="auto"/>
          <w:sz w:val="21"/>
          <w:szCs w:val="21"/>
        </w:rPr>
      </w:pPr>
      <w:r>
        <w:rPr>
          <w:rFonts w:hint="eastAsia" w:ascii="宋体" w:hAnsi="宋体"/>
          <w:color w:val="auto"/>
          <w:sz w:val="21"/>
          <w:szCs w:val="21"/>
        </w:rPr>
        <w:t>2、学生根据评选条件，由本人提出书面申请。</w:t>
      </w:r>
    </w:p>
    <w:p>
      <w:pPr>
        <w:spacing w:line="360" w:lineRule="auto"/>
        <w:ind w:firstLine="420" w:firstLineChars="200"/>
        <w:rPr>
          <w:rFonts w:ascii="宋体" w:hAnsi="宋体"/>
          <w:color w:val="auto"/>
          <w:sz w:val="21"/>
          <w:szCs w:val="21"/>
        </w:rPr>
      </w:pPr>
      <w:r>
        <w:rPr>
          <w:rFonts w:hint="eastAsia" w:ascii="宋体" w:hAnsi="宋体"/>
          <w:color w:val="auto"/>
          <w:sz w:val="21"/>
          <w:szCs w:val="21"/>
        </w:rPr>
        <w:t>3、教师、同学推荐。</w:t>
      </w:r>
    </w:p>
    <w:p>
      <w:pPr>
        <w:tabs>
          <w:tab w:val="right" w:pos="8306"/>
        </w:tabs>
        <w:spacing w:line="360" w:lineRule="auto"/>
        <w:ind w:firstLine="420" w:firstLineChars="200"/>
        <w:rPr>
          <w:rFonts w:ascii="宋体" w:hAnsi="宋体"/>
          <w:color w:val="auto"/>
          <w:sz w:val="21"/>
          <w:szCs w:val="21"/>
        </w:rPr>
      </w:pPr>
      <w:r>
        <w:rPr>
          <w:rFonts w:hint="eastAsia" w:ascii="宋体" w:hAnsi="宋体"/>
          <w:color w:val="auto"/>
          <w:sz w:val="21"/>
          <w:szCs w:val="21"/>
        </w:rPr>
        <w:t>4、学院学历</w:t>
      </w:r>
      <w:r>
        <w:rPr>
          <w:rFonts w:hint="eastAsia" w:ascii="宋体" w:hAnsi="宋体"/>
          <w:color w:val="auto"/>
          <w:sz w:val="21"/>
          <w:szCs w:val="21"/>
          <w:lang w:eastAsia="zh-CN"/>
        </w:rPr>
        <w:t>教育</w:t>
      </w:r>
      <w:r>
        <w:rPr>
          <w:rFonts w:hint="eastAsia" w:ascii="宋体" w:hAnsi="宋体"/>
          <w:color w:val="auto"/>
          <w:sz w:val="21"/>
          <w:szCs w:val="21"/>
        </w:rPr>
        <w:t>部初审。</w:t>
      </w:r>
    </w:p>
    <w:p>
      <w:pPr>
        <w:tabs>
          <w:tab w:val="right" w:pos="8306"/>
        </w:tabs>
        <w:spacing w:line="360" w:lineRule="auto"/>
        <w:ind w:firstLine="420" w:firstLineChars="200"/>
        <w:rPr>
          <w:rFonts w:ascii="宋体" w:hAnsi="宋体"/>
          <w:color w:val="auto"/>
          <w:sz w:val="21"/>
          <w:szCs w:val="21"/>
        </w:rPr>
      </w:pPr>
      <w:r>
        <w:rPr>
          <w:rFonts w:hint="eastAsia" w:ascii="宋体" w:hAnsi="宋体"/>
          <w:color w:val="auto"/>
          <w:sz w:val="21"/>
          <w:szCs w:val="21"/>
        </w:rPr>
        <w:t>5、学院</w:t>
      </w:r>
      <w:r>
        <w:rPr>
          <w:rFonts w:hint="eastAsia" w:ascii="宋体" w:hAnsi="宋体"/>
          <w:color w:val="auto"/>
          <w:sz w:val="21"/>
          <w:szCs w:val="21"/>
          <w:lang w:eastAsia="zh-CN"/>
        </w:rPr>
        <w:t>院务会</w:t>
      </w:r>
      <w:r>
        <w:rPr>
          <w:rFonts w:hint="eastAsia" w:ascii="宋体" w:hAnsi="宋体"/>
          <w:color w:val="auto"/>
          <w:sz w:val="21"/>
          <w:szCs w:val="21"/>
        </w:rPr>
        <w:t>审议。</w:t>
      </w:r>
    </w:p>
    <w:p>
      <w:pPr>
        <w:tabs>
          <w:tab w:val="right" w:pos="8306"/>
        </w:tabs>
        <w:spacing w:line="360" w:lineRule="auto"/>
        <w:ind w:firstLine="420" w:firstLineChars="200"/>
        <w:rPr>
          <w:rFonts w:ascii="宋体" w:hAnsi="宋体"/>
          <w:color w:val="auto"/>
          <w:sz w:val="21"/>
          <w:szCs w:val="21"/>
        </w:rPr>
      </w:pPr>
      <w:r>
        <w:rPr>
          <w:rFonts w:hint="eastAsia" w:ascii="宋体" w:hAnsi="宋体"/>
          <w:color w:val="auto"/>
          <w:sz w:val="21"/>
          <w:szCs w:val="21"/>
        </w:rPr>
        <w:t>6、公示。</w:t>
      </w:r>
    </w:p>
    <w:p>
      <w:pPr>
        <w:tabs>
          <w:tab w:val="right" w:pos="8306"/>
        </w:tabs>
        <w:spacing w:line="360" w:lineRule="auto"/>
        <w:ind w:firstLine="555"/>
        <w:rPr>
          <w:rFonts w:ascii="宋体" w:hAnsi="宋体"/>
          <w:color w:val="auto"/>
          <w:sz w:val="21"/>
          <w:szCs w:val="21"/>
        </w:rPr>
      </w:pPr>
    </w:p>
    <w:p>
      <w:pPr>
        <w:spacing w:line="240" w:lineRule="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四、其它</w:t>
      </w:r>
    </w:p>
    <w:p>
      <w:pPr>
        <w:spacing w:line="360" w:lineRule="auto"/>
        <w:ind w:firstLine="555"/>
        <w:rPr>
          <w:rFonts w:ascii="宋体" w:hAnsi="宋体"/>
          <w:color w:val="auto"/>
          <w:sz w:val="21"/>
          <w:szCs w:val="21"/>
        </w:rPr>
      </w:pPr>
      <w:r>
        <w:rPr>
          <w:rFonts w:hint="eastAsia" w:ascii="宋体" w:hAnsi="宋体"/>
          <w:color w:val="auto"/>
          <w:sz w:val="21"/>
          <w:szCs w:val="21"/>
        </w:rPr>
        <w:t>1、学生所获奖项记入本人学籍档案。</w:t>
      </w:r>
    </w:p>
    <w:p>
      <w:pPr>
        <w:spacing w:line="360" w:lineRule="auto"/>
        <w:ind w:firstLine="555"/>
        <w:rPr>
          <w:rFonts w:ascii="宋体" w:hAnsi="宋体"/>
          <w:color w:val="auto"/>
          <w:sz w:val="21"/>
          <w:szCs w:val="21"/>
        </w:rPr>
      </w:pPr>
      <w:r>
        <w:rPr>
          <w:rFonts w:hint="eastAsia" w:ascii="宋体" w:hAnsi="宋体"/>
          <w:color w:val="auto"/>
          <w:sz w:val="21"/>
          <w:szCs w:val="21"/>
        </w:rPr>
        <w:t>2、学生在读期间如违反校纪校规受到通报批评或各类处分，则不具备参评资格。</w:t>
      </w:r>
    </w:p>
    <w:p>
      <w:pPr>
        <w:spacing w:line="360" w:lineRule="auto"/>
        <w:ind w:firstLine="555"/>
        <w:rPr>
          <w:rFonts w:hint="eastAsia" w:ascii="宋体" w:hAnsi="宋体"/>
          <w:color w:val="auto"/>
          <w:sz w:val="21"/>
          <w:szCs w:val="21"/>
        </w:rPr>
      </w:pPr>
      <w:r>
        <w:rPr>
          <w:rFonts w:hint="eastAsia" w:ascii="宋体" w:hAnsi="宋体"/>
          <w:color w:val="auto"/>
          <w:sz w:val="21"/>
          <w:szCs w:val="21"/>
        </w:rPr>
        <w:t>3、凡获得奖学金者，如发现有弄虚作假、欺骗组织等行为，东华大学继续教育学院将立即撤销其所得荣誉，并收回所得奖学金。</w:t>
      </w:r>
    </w:p>
    <w:p>
      <w:pPr>
        <w:ind w:firstLine="630" w:firstLineChars="300"/>
        <w:rPr>
          <w:color w:val="auto"/>
          <w:szCs w:val="21"/>
        </w:rPr>
      </w:pPr>
      <w:r>
        <w:rPr>
          <w:rFonts w:hint="eastAsia" w:ascii="宋体" w:hAnsi="宋体"/>
          <w:color w:val="auto"/>
          <w:sz w:val="21"/>
          <w:szCs w:val="21"/>
        </w:rPr>
        <w:t>4、本办法由东华大学继续教育学院负责解释。</w:t>
      </w:r>
    </w:p>
    <w:p>
      <w:pPr>
        <w:spacing w:line="360" w:lineRule="auto"/>
        <w:ind w:left="420"/>
        <w:jc w:val="left"/>
        <w:rPr>
          <w:rFonts w:hint="eastAsia" w:ascii="宋体" w:hAnsi="宋体" w:eastAsia="宋体"/>
          <w:color w:val="auto"/>
          <w:sz w:val="21"/>
          <w:szCs w:val="21"/>
          <w:highlight w:val="none"/>
          <w:lang w:val="en-US" w:eastAsia="zh-CN"/>
        </w:rPr>
      </w:pPr>
    </w:p>
    <w:p>
      <w:pPr>
        <w:spacing w:line="360" w:lineRule="auto"/>
        <w:ind w:left="420"/>
        <w:jc w:val="left"/>
        <w:rPr>
          <w:rFonts w:hint="eastAsia" w:ascii="宋体" w:hAnsi="宋体" w:eastAsia="宋体"/>
          <w:color w:val="auto"/>
          <w:sz w:val="21"/>
          <w:szCs w:val="21"/>
          <w:highlight w:val="none"/>
          <w:lang w:val="en-US" w:eastAsia="zh-CN"/>
        </w:rPr>
      </w:pPr>
    </w:p>
    <w:p>
      <w:pPr>
        <w:pStyle w:val="2"/>
        <w:spacing w:before="0" w:after="0"/>
        <w:outlineLvl w:val="0"/>
        <w:rPr>
          <w:rFonts w:hint="eastAsia"/>
          <w:color w:val="auto"/>
          <w:lang w:val="en-US" w:eastAsia="zh-CN"/>
        </w:rPr>
      </w:pPr>
      <w:bookmarkStart w:id="58" w:name="_Toc19486"/>
      <w:r>
        <w:rPr>
          <w:rFonts w:hint="eastAsia"/>
          <w:b/>
          <w:bCs/>
          <w:color w:val="auto"/>
        </w:rPr>
        <w:br w:type="page"/>
      </w:r>
      <w:bookmarkEnd w:id="58"/>
      <w:bookmarkStart w:id="59" w:name="_Toc16414"/>
      <w:bookmarkStart w:id="60" w:name="_Toc5238"/>
      <w:bookmarkStart w:id="61" w:name="_Toc6214"/>
      <w:bookmarkStart w:id="62" w:name="_Toc14613"/>
      <w:bookmarkStart w:id="63" w:name="_Toc32730"/>
      <w:r>
        <w:rPr>
          <w:rFonts w:hint="default" w:ascii="Times New Roman" w:hAnsi="Times New Roman" w:eastAsia="宋体" w:cs="Times New Roman"/>
          <w:b/>
          <w:bCs/>
          <w:color w:val="auto"/>
          <w:kern w:val="44"/>
          <w:sz w:val="30"/>
          <w:szCs w:val="30"/>
          <w:lang w:val="en-US" w:eastAsia="zh-CN" w:bidi="ar-SA"/>
        </w:rPr>
        <w:t>东华大学</w:t>
      </w:r>
      <w:r>
        <w:rPr>
          <w:rFonts w:hint="default" w:cs="Times New Roman"/>
          <w:b/>
          <w:bCs/>
          <w:color w:val="auto"/>
          <w:kern w:val="44"/>
          <w:sz w:val="30"/>
          <w:szCs w:val="30"/>
          <w:lang w:val="en-US" w:eastAsia="zh-CN" w:bidi="ar-SA"/>
        </w:rPr>
        <w:t>学历</w:t>
      </w:r>
      <w:r>
        <w:rPr>
          <w:rFonts w:hint="default" w:ascii="Times New Roman" w:hAnsi="Times New Roman" w:eastAsia="宋体" w:cs="Times New Roman"/>
          <w:b/>
          <w:bCs/>
          <w:color w:val="auto"/>
          <w:kern w:val="44"/>
          <w:sz w:val="30"/>
          <w:szCs w:val="30"/>
          <w:lang w:val="en-US" w:eastAsia="zh-CN" w:bidi="ar-SA"/>
        </w:rPr>
        <w:t>继续教育</w:t>
      </w:r>
      <w:bookmarkEnd w:id="59"/>
      <w:bookmarkEnd w:id="60"/>
      <w:bookmarkEnd w:id="61"/>
      <w:bookmarkEnd w:id="62"/>
      <w:bookmarkStart w:id="64" w:name="_Toc1935"/>
      <w:bookmarkStart w:id="65" w:name="_Toc27187"/>
      <w:bookmarkStart w:id="66" w:name="_Toc27273"/>
      <w:bookmarkStart w:id="67" w:name="_Toc27210"/>
      <w:bookmarkStart w:id="68" w:name="_Toc18268"/>
      <w:bookmarkStart w:id="69" w:name="_Toc5751"/>
      <w:bookmarkStart w:id="70" w:name="_Toc11360"/>
      <w:bookmarkStart w:id="71" w:name="_Toc20766"/>
      <w:bookmarkStart w:id="72" w:name="_Toc17610"/>
      <w:bookmarkStart w:id="73" w:name="_Toc28240"/>
      <w:bookmarkStart w:id="74" w:name="_Toc32666"/>
      <w:bookmarkStart w:id="75" w:name="_Toc27820"/>
      <w:bookmarkStart w:id="76" w:name="_Toc3662"/>
      <w:bookmarkStart w:id="77" w:name="_Toc13396"/>
      <w:r>
        <w:rPr>
          <w:rFonts w:hint="default" w:ascii="Times New Roman" w:hAnsi="Times New Roman" w:eastAsia="宋体" w:cs="Times New Roman"/>
          <w:b/>
          <w:bCs/>
          <w:color w:val="auto"/>
          <w:kern w:val="44"/>
          <w:sz w:val="30"/>
          <w:szCs w:val="30"/>
          <w:lang w:val="en-US" w:eastAsia="zh-CN" w:bidi="ar-SA"/>
        </w:rPr>
        <w:t>上海市终身教育学分银行</w:t>
      </w:r>
      <w:bookmarkEnd w:id="63"/>
      <w:bookmarkEnd w:id="64"/>
    </w:p>
    <w:p>
      <w:pPr>
        <w:pStyle w:val="2"/>
        <w:spacing w:before="0" w:after="0"/>
        <w:outlineLvl w:val="0"/>
        <w:rPr>
          <w:rFonts w:hint="eastAsia" w:ascii="Times New Roman" w:hAnsi="Times New Roman"/>
          <w:b/>
          <w:color w:val="auto"/>
          <w:sz w:val="30"/>
          <w:szCs w:val="30"/>
        </w:rPr>
      </w:pPr>
      <w:bookmarkStart w:id="78" w:name="_Toc29298"/>
      <w:bookmarkStart w:id="79" w:name="_Toc6408"/>
      <w:r>
        <w:rPr>
          <w:rFonts w:hint="default" w:ascii="Times New Roman" w:hAnsi="Times New Roman" w:eastAsia="宋体" w:cs="Times New Roman"/>
          <w:b/>
          <w:bCs/>
          <w:color w:val="auto"/>
          <w:kern w:val="44"/>
          <w:sz w:val="30"/>
          <w:szCs w:val="30"/>
          <w:lang w:val="en-US" w:eastAsia="zh-CN" w:bidi="ar-SA"/>
        </w:rPr>
        <w:t>学分转换定</w:t>
      </w:r>
      <w:bookmarkEnd w:id="65"/>
      <w:r>
        <w:rPr>
          <w:rFonts w:hint="default" w:ascii="Times New Roman" w:hAnsi="Times New Roman" w:eastAsia="宋体" w:cs="Times New Roman"/>
          <w:b/>
          <w:bCs/>
          <w:color w:val="auto"/>
          <w:kern w:val="44"/>
          <w:sz w:val="30"/>
          <w:szCs w:val="30"/>
          <w:lang w:val="en-US" w:eastAsia="zh-CN" w:bidi="ar-SA"/>
        </w:rPr>
        <w:t>（试行）</w:t>
      </w:r>
      <w:bookmarkEnd w:id="66"/>
      <w:bookmarkEnd w:id="67"/>
      <w:bookmarkEnd w:id="68"/>
      <w:bookmarkEnd w:id="69"/>
      <w:bookmarkEnd w:id="70"/>
      <w:bookmarkEnd w:id="71"/>
      <w:bookmarkEnd w:id="72"/>
      <w:bookmarkEnd w:id="73"/>
      <w:bookmarkEnd w:id="74"/>
      <w:bookmarkEnd w:id="75"/>
      <w:bookmarkEnd w:id="76"/>
      <w:bookmarkEnd w:id="77"/>
      <w:bookmarkEnd w:id="78"/>
      <w:bookmarkEnd w:id="79"/>
    </w:p>
    <w:p>
      <w:pPr>
        <w:spacing w:beforeLines="0" w:afterLines="0" w:line="360" w:lineRule="auto"/>
        <w:jc w:val="center"/>
        <w:rPr>
          <w:rFonts w:hint="eastAsia" w:ascii="宋体" w:hAnsi="宋体"/>
          <w:b/>
          <w:color w:val="auto"/>
          <w:sz w:val="21"/>
          <w:szCs w:val="21"/>
        </w:rPr>
      </w:pPr>
    </w:p>
    <w:p>
      <w:pPr>
        <w:spacing w:beforeLines="0" w:afterLines="0"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为进一步规范东华大学</w:t>
      </w:r>
      <w:r>
        <w:rPr>
          <w:rFonts w:hint="eastAsia" w:ascii="宋体" w:hAnsi="宋体" w:eastAsia="宋体" w:cs="宋体"/>
          <w:color w:val="auto"/>
          <w:sz w:val="21"/>
          <w:szCs w:val="21"/>
          <w:lang w:eastAsia="zh-CN"/>
        </w:rPr>
        <w:t>学历</w:t>
      </w:r>
      <w:r>
        <w:rPr>
          <w:rFonts w:hint="eastAsia" w:ascii="宋体" w:hAnsi="宋体" w:eastAsia="宋体" w:cs="宋体"/>
          <w:color w:val="auto"/>
          <w:sz w:val="21"/>
          <w:szCs w:val="21"/>
        </w:rPr>
        <w:t>继续教育学生学分转换管理，推进上海市终身教育学分银行学习成果认证和学分转换工作的深入开展，结合我院实际情况，特制订本规定。</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一、关于学分转换</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本规定中的学分转换，指学生将入学前已获得的学历教育课程学分、成绩和相应的非学历证书等学习成果存入上海市终身教育学分银行；入学后经学生申请、我院审核，学生可将积累在学分银行的学习成果按我院学分转换规定转换为我院学历教育课程学分。</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二、学分转换条件与成绩认定</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1、学生申请学分转换的学分银行课程，为同层次或更高层次学历教育的同一课程，且已被我院认定为对应高校网点课程，课程认定成绩以原成绩记载。</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2、学生申请学分转换的学分银行课程，为《高等教育自学考试》同层次或更高层次的同一课程，课程认定成绩以自考成绩记载。</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学生申请学分转换的非学历证书，为上海市普通高校成人高等教育认定范围内的相关非学历证书，或为我院认定的其他相关非学历证书，课程认定成绩按《东华大学成人高等教育非学历证书认定课程一览表》执行。</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4、学生申请学分转换的非学历证书</w:t>
      </w:r>
      <w:r>
        <w:rPr>
          <w:rFonts w:hint="eastAsia" w:ascii="宋体" w:hAnsi="宋体" w:eastAsia="宋体" w:cs="宋体"/>
          <w:color w:val="auto"/>
          <w:sz w:val="21"/>
          <w:szCs w:val="21"/>
          <w:lang w:val="en-US" w:eastAsia="zh-CN"/>
        </w:rPr>
        <w:t>和《高等教育自学考试》课程成绩合格证明</w:t>
      </w:r>
      <w:r>
        <w:rPr>
          <w:rFonts w:hint="eastAsia" w:ascii="宋体" w:hAnsi="宋体" w:eastAsia="宋体" w:cs="宋体"/>
          <w:color w:val="auto"/>
          <w:sz w:val="21"/>
          <w:szCs w:val="21"/>
        </w:rPr>
        <w:t>有效期为8年。</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、学生不能将学分银行中的学分转换为我院各专业实践教学学分，必须在我院修读各专业规定的社会实践（调查）、课程设计、毕业设计（论文、作业）等实践教学。</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三、学分转换申请手续及相关事宜</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1、学生入学前已在上海市终身教育银行开户，并存入已获得的学历教育课程学分、成绩和相应的非学历证书等学习成果。</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2、符合我院学分转换条件的学生，须在每学期开学一个月内办理有关手续。</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3、学生须登录上海市终身教育学分银行网站，创建并打印成绩证明，同相关材料一并提交至我院审核。</w:t>
      </w:r>
    </w:p>
    <w:p>
      <w:pPr>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4、我院审核后，认定课程学分和成绩。</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四、本规定作为《东华大学</w:t>
      </w:r>
      <w:r>
        <w:rPr>
          <w:rFonts w:hint="eastAsia" w:ascii="宋体" w:hAnsi="宋体" w:eastAsia="宋体" w:cs="宋体"/>
          <w:color w:val="auto"/>
          <w:sz w:val="21"/>
          <w:szCs w:val="21"/>
          <w:lang w:val="en-US" w:eastAsia="zh-CN"/>
        </w:rPr>
        <w:t>成人高等教育</w:t>
      </w:r>
      <w:r>
        <w:rPr>
          <w:rFonts w:hint="eastAsia" w:ascii="宋体" w:hAnsi="宋体" w:eastAsia="宋体" w:cs="宋体"/>
          <w:color w:val="auto"/>
          <w:sz w:val="21"/>
          <w:szCs w:val="21"/>
        </w:rPr>
        <w:t>课程免考管理</w:t>
      </w:r>
      <w:r>
        <w:rPr>
          <w:rFonts w:hint="eastAsia" w:ascii="宋体" w:hAnsi="宋体" w:eastAsia="宋体" w:cs="宋体"/>
          <w:color w:val="auto"/>
          <w:sz w:val="21"/>
          <w:szCs w:val="21"/>
          <w:lang w:val="en-US" w:eastAsia="zh-CN"/>
        </w:rPr>
        <w:t>办法</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东华大学现代远程教育课程免考、免修管理办法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的补充规定，自公布之日起执行。</w:t>
      </w:r>
    </w:p>
    <w:p>
      <w:pPr>
        <w:rPr>
          <w:rFonts w:hint="eastAsia" w:ascii="宋体" w:hAnsi="宋体"/>
          <w:color w:val="auto"/>
          <w:szCs w:val="18"/>
        </w:rPr>
      </w:pPr>
    </w:p>
    <w:p>
      <w:pPr>
        <w:rPr>
          <w:rFonts w:hint="eastAsia" w:ascii="宋体" w:hAnsi="宋体"/>
          <w:color w:val="auto"/>
          <w:szCs w:val="18"/>
        </w:rPr>
      </w:pPr>
    </w:p>
    <w:p>
      <w:pPr>
        <w:rPr>
          <w:rFonts w:hint="eastAsia" w:ascii="宋体" w:hAnsi="宋体"/>
          <w:color w:val="auto"/>
          <w:szCs w:val="18"/>
        </w:rPr>
      </w:pPr>
    </w:p>
    <w:p>
      <w:pPr>
        <w:rPr>
          <w:rFonts w:hint="eastAsia" w:ascii="宋体" w:hAnsi="宋体"/>
          <w:color w:val="auto"/>
          <w:szCs w:val="18"/>
        </w:rPr>
      </w:pPr>
    </w:p>
    <w:p>
      <w:pPr>
        <w:rPr>
          <w:rFonts w:hint="eastAsia" w:ascii="宋体" w:hAnsi="宋体"/>
          <w:color w:val="auto"/>
          <w:szCs w:val="18"/>
        </w:rPr>
      </w:pPr>
    </w:p>
    <w:p>
      <w:pPr>
        <w:rPr>
          <w:rFonts w:hint="eastAsia" w:ascii="宋体" w:hAnsi="宋体"/>
          <w:color w:val="auto"/>
          <w:szCs w:val="18"/>
        </w:rPr>
      </w:pPr>
    </w:p>
    <w:p>
      <w:pPr>
        <w:rPr>
          <w:rFonts w:hint="eastAsia" w:ascii="宋体" w:hAnsi="宋体"/>
          <w:color w:val="auto"/>
          <w:szCs w:val="18"/>
        </w:rPr>
      </w:pPr>
    </w:p>
    <w:p>
      <w:pPr>
        <w:rPr>
          <w:rFonts w:hint="eastAsia" w:ascii="宋体" w:hAnsi="宋体"/>
          <w:color w:val="auto"/>
          <w:szCs w:val="18"/>
        </w:rPr>
      </w:pPr>
    </w:p>
    <w:p>
      <w:pPr>
        <w:rPr>
          <w:rFonts w:hint="eastAsia" w:ascii="宋体" w:hAnsi="宋体"/>
          <w:color w:val="auto"/>
          <w:szCs w:val="18"/>
        </w:rPr>
      </w:pPr>
    </w:p>
    <w:p>
      <w:pPr>
        <w:rPr>
          <w:rFonts w:hint="eastAsia" w:ascii="宋体" w:hAnsi="宋体"/>
          <w:color w:val="auto"/>
          <w:szCs w:val="18"/>
        </w:rPr>
      </w:pPr>
    </w:p>
    <w:p>
      <w:pPr>
        <w:rPr>
          <w:rFonts w:hint="eastAsia" w:ascii="宋体" w:hAnsi="宋体"/>
          <w:color w:val="auto"/>
          <w:szCs w:val="18"/>
        </w:rPr>
      </w:pPr>
    </w:p>
    <w:p>
      <w:pPr>
        <w:rPr>
          <w:rFonts w:hint="eastAsia" w:ascii="宋体" w:hAnsi="宋体"/>
          <w:color w:val="auto"/>
          <w:szCs w:val="18"/>
        </w:rPr>
      </w:pPr>
    </w:p>
    <w:p>
      <w:pPr>
        <w:rPr>
          <w:rFonts w:hint="eastAsia" w:ascii="宋体" w:hAnsi="宋体"/>
          <w:color w:val="auto"/>
          <w:szCs w:val="18"/>
        </w:rPr>
      </w:pPr>
    </w:p>
    <w:p>
      <w:pPr>
        <w:rPr>
          <w:rFonts w:hint="eastAsia" w:ascii="宋体" w:hAnsi="宋体"/>
          <w:color w:val="auto"/>
          <w:szCs w:val="18"/>
        </w:rPr>
      </w:pPr>
    </w:p>
    <w:p>
      <w:pPr>
        <w:rPr>
          <w:rFonts w:hint="eastAsia" w:ascii="宋体" w:hAnsi="宋体"/>
          <w:color w:val="auto"/>
          <w:szCs w:val="18"/>
        </w:rPr>
      </w:pPr>
    </w:p>
    <w:p>
      <w:pPr>
        <w:rPr>
          <w:rFonts w:hint="eastAsia" w:ascii="宋体" w:hAnsi="宋体"/>
          <w:color w:val="auto"/>
          <w:szCs w:val="18"/>
        </w:rPr>
      </w:pPr>
    </w:p>
    <w:p>
      <w:pPr>
        <w:rPr>
          <w:rFonts w:hint="eastAsia" w:ascii="宋体" w:hAnsi="宋体"/>
          <w:color w:val="auto"/>
          <w:szCs w:val="18"/>
        </w:rPr>
      </w:pPr>
    </w:p>
    <w:p>
      <w:pPr>
        <w:pStyle w:val="8"/>
        <w:snapToGrid w:val="0"/>
        <w:ind w:firstLine="420"/>
        <w:rPr>
          <w:color w:val="auto"/>
          <w:szCs w:val="21"/>
        </w:rPr>
      </w:pPr>
    </w:p>
    <w:p>
      <w:pPr>
        <w:pStyle w:val="8"/>
        <w:snapToGrid w:val="0"/>
        <w:ind w:firstLine="420"/>
        <w:rPr>
          <w:color w:val="auto"/>
          <w:szCs w:val="21"/>
        </w:rPr>
      </w:pPr>
    </w:p>
    <w:p>
      <w:pPr>
        <w:pStyle w:val="8"/>
        <w:snapToGrid w:val="0"/>
        <w:ind w:firstLine="420"/>
        <w:rPr>
          <w:color w:val="auto"/>
          <w:szCs w:val="21"/>
        </w:rPr>
      </w:pPr>
    </w:p>
    <w:p>
      <w:pPr>
        <w:pStyle w:val="2"/>
        <w:spacing w:before="0" w:after="0"/>
        <w:outlineLvl w:val="0"/>
        <w:rPr>
          <w:rFonts w:hint="eastAsia" w:eastAsia="宋体"/>
          <w:color w:val="auto"/>
          <w:sz w:val="30"/>
          <w:szCs w:val="30"/>
          <w:lang w:eastAsia="zh-CN"/>
        </w:rPr>
      </w:pPr>
      <w:bookmarkStart w:id="80" w:name="_Toc23931"/>
      <w:bookmarkStart w:id="81" w:name="_Toc407709055"/>
      <w:bookmarkStart w:id="82" w:name="_Toc318549005"/>
      <w:bookmarkStart w:id="83" w:name="_Toc29136"/>
      <w:r>
        <w:rPr>
          <w:rFonts w:hint="eastAsia" w:ascii="Cambria" w:hAnsi="Cambria" w:eastAsia="宋体" w:cs="Times New Roman"/>
          <w:b/>
          <w:bCs/>
          <w:color w:val="auto"/>
          <w:kern w:val="2"/>
          <w:sz w:val="32"/>
          <w:szCs w:val="32"/>
          <w:lang w:val="en-US" w:eastAsia="zh-CN" w:bidi="ar-SA"/>
        </w:rPr>
        <w:br w:type="page"/>
      </w:r>
      <w:bookmarkEnd w:id="80"/>
      <w:bookmarkEnd w:id="81"/>
      <w:bookmarkEnd w:id="82"/>
      <w:bookmarkEnd w:id="83"/>
      <w:bookmarkStart w:id="84" w:name="_Toc27012"/>
      <w:bookmarkStart w:id="85" w:name="_Toc1218"/>
      <w:bookmarkStart w:id="86" w:name="_Toc21080"/>
      <w:bookmarkStart w:id="87" w:name="_Toc16971"/>
      <w:r>
        <w:rPr>
          <w:rFonts w:hint="eastAsia" w:ascii="Times New Roman" w:hAnsi="Times New Roman" w:cs="Times New Roman"/>
          <w:color w:val="auto"/>
          <w:sz w:val="30"/>
          <w:szCs w:val="30"/>
        </w:rPr>
        <w:t>东华大学</w:t>
      </w:r>
      <w:r>
        <w:rPr>
          <w:rFonts w:hint="eastAsia" w:ascii="Times New Roman" w:hAnsi="Times New Roman" w:cs="Times New Roman"/>
          <w:color w:val="auto"/>
          <w:sz w:val="30"/>
          <w:szCs w:val="30"/>
          <w:lang w:eastAsia="zh-CN"/>
        </w:rPr>
        <w:t>高等学历继续教育</w:t>
      </w:r>
      <w:r>
        <w:rPr>
          <w:rFonts w:hint="eastAsia" w:ascii="Times New Roman" w:hAnsi="Times New Roman" w:cs="Times New Roman"/>
          <w:color w:val="auto"/>
          <w:sz w:val="30"/>
          <w:szCs w:val="30"/>
        </w:rPr>
        <w:t>课程成绩构成</w:t>
      </w:r>
      <w:r>
        <w:rPr>
          <w:rFonts w:hint="eastAsia" w:ascii="Times New Roman" w:hAnsi="Times New Roman" w:cs="Times New Roman"/>
          <w:color w:val="auto"/>
          <w:sz w:val="30"/>
          <w:szCs w:val="30"/>
          <w:lang w:eastAsia="zh-CN"/>
        </w:rPr>
        <w:t>与</w:t>
      </w:r>
      <w:r>
        <w:rPr>
          <w:rFonts w:hint="eastAsia" w:ascii="Times New Roman" w:hAnsi="Times New Roman" w:cs="Times New Roman"/>
          <w:color w:val="auto"/>
          <w:sz w:val="30"/>
          <w:szCs w:val="30"/>
        </w:rPr>
        <w:t>记载</w:t>
      </w:r>
      <w:r>
        <w:rPr>
          <w:rFonts w:hint="eastAsia" w:ascii="Times New Roman" w:hAnsi="Times New Roman" w:cs="Times New Roman"/>
          <w:color w:val="auto"/>
          <w:sz w:val="30"/>
          <w:szCs w:val="30"/>
          <w:lang w:eastAsia="zh-CN"/>
        </w:rPr>
        <w:t>办法</w:t>
      </w:r>
      <w:bookmarkEnd w:id="84"/>
      <w:bookmarkEnd w:id="85"/>
    </w:p>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为进一步加强东华大学高等学历继续教育课程成绩管理，依据《普通高等学校学生管理规定》《东华大学高等学历继续教育学生学籍管理规定》等有关规定，结合高等学历继续教育的实际情况，规定如下：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一、课程成绩构成比例</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高等学历继续教育课程成绩由考勤、平时作业、期末考核</w:t>
      </w:r>
      <w:r>
        <w:rPr>
          <w:rFonts w:hint="eastAsia" w:ascii="宋体" w:hAnsi="宋体" w:eastAsia="宋体" w:cs="宋体"/>
          <w:sz w:val="21"/>
          <w:szCs w:val="21"/>
          <w:lang w:eastAsia="zh-CN"/>
        </w:rPr>
        <w:t>成绩</w:t>
      </w:r>
      <w:r>
        <w:rPr>
          <w:rFonts w:hint="eastAsia" w:ascii="宋体" w:hAnsi="宋体" w:eastAsia="宋体" w:cs="宋体"/>
          <w:sz w:val="21"/>
          <w:szCs w:val="21"/>
        </w:rPr>
        <w:t>构成</w:t>
      </w:r>
      <w:r>
        <w:rPr>
          <w:rFonts w:hint="eastAsia" w:ascii="宋体" w:hAnsi="宋体" w:eastAsia="宋体" w:cs="宋体"/>
          <w:sz w:val="21"/>
          <w:szCs w:val="21"/>
          <w:lang w:eastAsia="zh-CN"/>
        </w:rPr>
        <w:t>。</w:t>
      </w:r>
      <w:r>
        <w:rPr>
          <w:rFonts w:hint="eastAsia" w:ascii="宋体" w:hAnsi="宋体" w:eastAsia="宋体" w:cs="宋体"/>
          <w:sz w:val="21"/>
          <w:szCs w:val="21"/>
        </w:rPr>
        <w:t>授课形式有面授</w:t>
      </w:r>
      <w:r>
        <w:rPr>
          <w:rFonts w:hint="eastAsia" w:ascii="宋体" w:hAnsi="宋体" w:eastAsia="宋体" w:cs="宋体"/>
          <w:sz w:val="21"/>
          <w:szCs w:val="21"/>
          <w:lang w:eastAsia="zh-CN"/>
        </w:rPr>
        <w:t>（或直播）教学</w:t>
      </w:r>
      <w:r>
        <w:rPr>
          <w:rFonts w:hint="eastAsia" w:ascii="宋体" w:hAnsi="宋体" w:eastAsia="宋体" w:cs="宋体"/>
          <w:sz w:val="21"/>
          <w:szCs w:val="21"/>
        </w:rPr>
        <w:t>、网授</w:t>
      </w:r>
      <w:r>
        <w:rPr>
          <w:rFonts w:hint="eastAsia" w:ascii="宋体" w:hAnsi="宋体" w:eastAsia="宋体" w:cs="宋体"/>
          <w:sz w:val="21"/>
          <w:szCs w:val="21"/>
          <w:lang w:eastAsia="zh-CN"/>
        </w:rPr>
        <w:t>教学</w:t>
      </w:r>
      <w:r>
        <w:rPr>
          <w:rFonts w:hint="eastAsia" w:ascii="宋体" w:hAnsi="宋体" w:eastAsia="宋体" w:cs="宋体"/>
          <w:sz w:val="21"/>
          <w:szCs w:val="21"/>
        </w:rPr>
        <w:t>和混合</w:t>
      </w:r>
      <w:r>
        <w:rPr>
          <w:rFonts w:hint="eastAsia" w:ascii="宋体" w:hAnsi="宋体" w:eastAsia="宋体" w:cs="宋体"/>
          <w:sz w:val="21"/>
          <w:szCs w:val="21"/>
          <w:lang w:eastAsia="zh-CN"/>
        </w:rPr>
        <w:t>式教学三种方式</w:t>
      </w:r>
      <w:r>
        <w:rPr>
          <w:rFonts w:hint="eastAsia" w:ascii="宋体" w:hAnsi="宋体" w:eastAsia="宋体" w:cs="宋体"/>
          <w:sz w:val="21"/>
          <w:szCs w:val="21"/>
        </w:rPr>
        <w:t>。</w:t>
      </w:r>
      <w:r>
        <w:rPr>
          <w:rFonts w:hint="eastAsia" w:ascii="宋体" w:hAnsi="宋体" w:eastAsia="宋体" w:cs="宋体"/>
          <w:sz w:val="21"/>
          <w:szCs w:val="21"/>
          <w:lang w:eastAsia="zh-CN"/>
        </w:rPr>
        <w:t>各类课程成绩构成比例如下：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1、面授</w:t>
      </w:r>
      <w:r>
        <w:rPr>
          <w:rFonts w:hint="eastAsia" w:ascii="宋体" w:hAnsi="宋体" w:eastAsia="宋体" w:cs="宋体"/>
          <w:sz w:val="21"/>
          <w:szCs w:val="21"/>
          <w:lang w:eastAsia="zh-CN"/>
        </w:rPr>
        <w:t>或直播</w:t>
      </w:r>
      <w:r>
        <w:rPr>
          <w:rFonts w:hint="eastAsia" w:ascii="宋体" w:hAnsi="宋体" w:eastAsia="宋体" w:cs="宋体"/>
          <w:sz w:val="21"/>
          <w:szCs w:val="21"/>
        </w:rPr>
        <w:t>课程成绩构成比例</w:t>
      </w:r>
    </w:p>
    <w:p>
      <w:pPr>
        <w:spacing w:line="360" w:lineRule="auto"/>
        <w:rPr>
          <w:rFonts w:hint="eastAsia" w:ascii="宋体" w:hAnsi="宋体" w:eastAsia="宋体" w:cs="宋体"/>
          <w:sz w:val="21"/>
          <w:szCs w:val="21"/>
        </w:rPr>
      </w:pPr>
      <w:r>
        <w:rPr>
          <w:rFonts w:hint="eastAsia" w:ascii="宋体" w:hAnsi="宋体" w:eastAsia="宋体" w:cs="宋体"/>
          <w:sz w:val="21"/>
          <w:szCs w:val="21"/>
        </w:rPr>
        <w:t>考试课程：平时成绩（考勤+平时作业）30%+期末考试成绩70%</w:t>
      </w:r>
    </w:p>
    <w:p>
      <w:pPr>
        <w:spacing w:line="360" w:lineRule="auto"/>
        <w:rPr>
          <w:rFonts w:hint="eastAsia" w:ascii="宋体" w:hAnsi="宋体" w:eastAsia="宋体" w:cs="宋体"/>
          <w:sz w:val="21"/>
          <w:szCs w:val="21"/>
        </w:rPr>
      </w:pPr>
      <w:r>
        <w:rPr>
          <w:rFonts w:hint="eastAsia" w:ascii="宋体" w:hAnsi="宋体" w:eastAsia="宋体" w:cs="宋体"/>
          <w:sz w:val="21"/>
          <w:szCs w:val="21"/>
        </w:rPr>
        <w:t>考查课程：平时成绩（考勤+平时作业）50%+期末大作业成绩50%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2、网授课程成绩构成比例</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考勤15%+平时作业15%+期末考核成绩70%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3、混合授课成绩构成比例</w:t>
      </w:r>
    </w:p>
    <w:p>
      <w:pPr>
        <w:spacing w:line="360" w:lineRule="auto"/>
        <w:rPr>
          <w:rFonts w:hint="eastAsia" w:ascii="宋体" w:hAnsi="宋体" w:eastAsia="宋体" w:cs="宋体"/>
          <w:sz w:val="21"/>
          <w:szCs w:val="21"/>
        </w:rPr>
      </w:pPr>
      <w:r>
        <w:rPr>
          <w:rFonts w:hint="eastAsia" w:ascii="宋体" w:hAnsi="宋体" w:eastAsia="宋体" w:cs="宋体"/>
          <w:sz w:val="21"/>
          <w:szCs w:val="21"/>
        </w:rPr>
        <w:t>考试课程：网上考勤10%+（面授考勤+平时作业）20%+期末考试成绩70%</w:t>
      </w:r>
    </w:p>
    <w:p>
      <w:pPr>
        <w:spacing w:line="360" w:lineRule="auto"/>
        <w:rPr>
          <w:rFonts w:hint="eastAsia" w:ascii="宋体" w:hAnsi="宋体" w:eastAsia="宋体" w:cs="宋体"/>
          <w:sz w:val="21"/>
          <w:szCs w:val="21"/>
        </w:rPr>
      </w:pPr>
      <w:r>
        <w:rPr>
          <w:rFonts w:hint="eastAsia" w:ascii="宋体" w:hAnsi="宋体" w:eastAsia="宋体" w:cs="宋体"/>
          <w:sz w:val="21"/>
          <w:szCs w:val="21"/>
        </w:rPr>
        <w:t>考查课程：网上考勤10%+（面授考勤+平时作业）40%+期末大作业成绩50%</w:t>
      </w:r>
    </w:p>
    <w:p>
      <w:pPr>
        <w:numPr>
          <w:ilvl w:val="0"/>
          <w:numId w:val="3"/>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思政课程</w:t>
      </w:r>
      <w:r>
        <w:rPr>
          <w:rFonts w:hint="eastAsia" w:ascii="宋体" w:hAnsi="宋体" w:eastAsia="宋体" w:cs="宋体"/>
          <w:sz w:val="21"/>
          <w:szCs w:val="21"/>
          <w:lang w:eastAsia="zh-CN"/>
        </w:rPr>
        <w:t>成绩构成比例</w:t>
      </w:r>
      <w:r>
        <w:rPr>
          <w:rFonts w:hint="eastAsia" w:ascii="宋体" w:hAnsi="宋体" w:eastAsia="宋体" w:cs="宋体"/>
          <w:sz w:val="21"/>
          <w:szCs w:val="21"/>
        </w:rPr>
        <w:t>：</w:t>
      </w:r>
    </w:p>
    <w:p>
      <w:pPr>
        <w:numPr>
          <w:ilvl w:val="0"/>
          <w:numId w:val="0"/>
        </w:numPr>
        <w:spacing w:line="360" w:lineRule="auto"/>
        <w:rPr>
          <w:rFonts w:hint="eastAsia" w:ascii="宋体" w:hAnsi="宋体" w:eastAsia="宋体" w:cs="宋体"/>
          <w:sz w:val="21"/>
          <w:szCs w:val="21"/>
        </w:rPr>
      </w:pPr>
      <w:r>
        <w:rPr>
          <w:rFonts w:hint="eastAsia" w:ascii="宋体" w:hAnsi="宋体" w:eastAsia="宋体" w:cs="宋体"/>
          <w:sz w:val="21"/>
          <w:szCs w:val="21"/>
        </w:rPr>
        <w:t>考勤15%+作业35%+期末考试成绩50%</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二、课程成绩记载方式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高等学历继续教育课程成绩</w:t>
      </w:r>
      <w:r>
        <w:rPr>
          <w:rFonts w:hint="eastAsia" w:ascii="宋体" w:hAnsi="宋体" w:eastAsia="宋体" w:cs="宋体"/>
          <w:sz w:val="21"/>
          <w:szCs w:val="21"/>
          <w:lang w:eastAsia="zh-CN"/>
        </w:rPr>
        <w:t>按</w:t>
      </w:r>
      <w:r>
        <w:rPr>
          <w:rFonts w:hint="eastAsia" w:ascii="宋体" w:hAnsi="宋体" w:eastAsia="宋体" w:cs="宋体"/>
          <w:sz w:val="21"/>
          <w:szCs w:val="21"/>
        </w:rPr>
        <w:t>百分制</w:t>
      </w:r>
      <w:r>
        <w:rPr>
          <w:rFonts w:hint="eastAsia" w:ascii="宋体" w:hAnsi="宋体" w:eastAsia="宋体" w:cs="宋体"/>
          <w:sz w:val="21"/>
          <w:szCs w:val="21"/>
          <w:lang w:eastAsia="zh-CN"/>
        </w:rPr>
        <w:t>记载。</w:t>
      </w:r>
      <w:r>
        <w:rPr>
          <w:rFonts w:hint="eastAsia" w:ascii="宋体" w:hAnsi="宋体" w:eastAsia="宋体" w:cs="宋体"/>
          <w:sz w:val="21"/>
          <w:szCs w:val="21"/>
        </w:rPr>
        <w:t>考试课程有一次补考</w:t>
      </w:r>
      <w:r>
        <w:rPr>
          <w:rFonts w:hint="eastAsia" w:ascii="宋体" w:hAnsi="宋体" w:eastAsia="宋体" w:cs="宋体"/>
          <w:sz w:val="21"/>
          <w:szCs w:val="21"/>
          <w:lang w:eastAsia="zh-CN"/>
        </w:rPr>
        <w:t>。补考成绩按实记载，</w:t>
      </w:r>
      <w:r>
        <w:rPr>
          <w:rFonts w:hint="eastAsia" w:ascii="宋体" w:hAnsi="宋体" w:eastAsia="宋体" w:cs="宋体"/>
          <w:sz w:val="21"/>
          <w:szCs w:val="21"/>
        </w:rPr>
        <w:t>成绩构成比例与正考一致</w:t>
      </w:r>
      <w:r>
        <w:rPr>
          <w:rFonts w:hint="eastAsia" w:ascii="宋体" w:hAnsi="宋体" w:eastAsia="宋体" w:cs="宋体"/>
          <w:sz w:val="21"/>
          <w:szCs w:val="21"/>
          <w:lang w:eastAsia="zh-CN"/>
        </w:rPr>
        <w:t>。</w:t>
      </w:r>
      <w:r>
        <w:rPr>
          <w:rFonts w:hint="eastAsia" w:ascii="宋体" w:hAnsi="宋体" w:eastAsia="宋体" w:cs="宋体"/>
          <w:sz w:val="21"/>
          <w:szCs w:val="21"/>
        </w:rPr>
        <w:t>考查课程没有补考。</w:t>
      </w:r>
    </w:p>
    <w:p>
      <w:pPr>
        <w:numPr>
          <w:ilvl w:val="0"/>
          <w:numId w:val="4"/>
        </w:num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本办法适用于除现代远程教育之外的所有学历继续教育在籍学生。</w:t>
      </w:r>
    </w:p>
    <w:p>
      <w:pPr>
        <w:numPr>
          <w:ilvl w:val="0"/>
          <w:numId w:val="4"/>
        </w:num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本办法自公布之日起施行。</w:t>
      </w:r>
    </w:p>
    <w:p>
      <w:pPr>
        <w:pStyle w:val="2"/>
        <w:spacing w:before="0" w:after="0"/>
        <w:jc w:val="center"/>
        <w:outlineLvl w:val="0"/>
        <w:rPr>
          <w:rFonts w:hint="eastAsia"/>
          <w:b/>
          <w:bCs/>
          <w:color w:val="auto"/>
          <w:lang w:val="en-US" w:eastAsia="zh-CN"/>
        </w:rPr>
      </w:pPr>
      <w:r>
        <w:rPr>
          <w:rFonts w:hint="eastAsia" w:cs="Times New Roman"/>
          <w:b/>
          <w:bCs/>
          <w:color w:val="auto"/>
          <w:kern w:val="2"/>
          <w:sz w:val="32"/>
          <w:szCs w:val="32"/>
          <w:lang w:val="en-US" w:eastAsia="zh-CN" w:bidi="ar-SA"/>
        </w:rPr>
        <w:br w:type="page"/>
      </w:r>
      <w:bookmarkStart w:id="88" w:name="_Toc7514"/>
      <w:bookmarkStart w:id="89" w:name="_Toc20715"/>
      <w:r>
        <w:rPr>
          <w:rFonts w:hint="eastAsia" w:cs="Times New Roman"/>
          <w:b/>
          <w:bCs/>
          <w:color w:val="auto"/>
          <w:kern w:val="2"/>
          <w:sz w:val="32"/>
          <w:szCs w:val="32"/>
          <w:lang w:val="en-US" w:eastAsia="zh-CN" w:bidi="ar-SA"/>
        </w:rPr>
        <w:t>东华大学继续教育学院</w:t>
      </w:r>
      <w:r>
        <w:rPr>
          <w:rFonts w:hint="eastAsia" w:ascii="Cambria" w:hAnsi="Cambria" w:eastAsia="宋体" w:cs="Times New Roman"/>
          <w:b/>
          <w:bCs/>
          <w:color w:val="auto"/>
          <w:kern w:val="2"/>
          <w:sz w:val="32"/>
          <w:szCs w:val="32"/>
          <w:lang w:val="en-US" w:eastAsia="zh-CN" w:bidi="ar-SA"/>
        </w:rPr>
        <w:t>加强和改进学风建设倡议书</w:t>
      </w:r>
      <w:bookmarkEnd w:id="86"/>
      <w:bookmarkEnd w:id="87"/>
      <w:bookmarkEnd w:id="88"/>
      <w:bookmarkEnd w:id="89"/>
    </w:p>
    <w:p>
      <w:pPr>
        <w:ind w:firstLine="420" w:firstLineChars="200"/>
        <w:rPr>
          <w:rFonts w:hint="eastAsia" w:ascii="宋体" w:hAnsi="宋体" w:eastAsia="宋体" w:cs="宋体"/>
          <w:color w:val="auto"/>
          <w:szCs w:val="21"/>
          <w:lang w:val="en-US" w:eastAsia="zh-CN"/>
        </w:rPr>
      </w:pPr>
    </w:p>
    <w:p>
      <w:pPr>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为贯彻落实《东华大学切实加强和改进学风建设实施细则》的要求，进一步在学院内营造风清气正的育人环境和求真务实的学术氛围，在学术活动中严谨自律，自觉遵守学术规范，强化学生学习的主体意识，培养学生良好的学习习惯，现向全体同学发出倡议：</w:t>
      </w:r>
    </w:p>
    <w:p>
      <w:pPr>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1、学习不要唯应试、唯文凭，不急功近利，树立正确的价值观、人生观、世界观；</w:t>
      </w:r>
    </w:p>
    <w:p>
      <w:pPr>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2、上课不迟到、不早退、不无故缺席，如有特殊情况，及时向任课教师说明原因并补假条；</w:t>
      </w:r>
    </w:p>
    <w:p>
      <w:pPr>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3、上课不要喧哗、睡觉、吃东西、玩手机，不扰乱课堂秩序，不做与课堂无关的事；</w:t>
      </w:r>
    </w:p>
    <w:p>
      <w:pPr>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4、网络学习不要为了签到而签到，不搞形式主义，认真学习，积极参与网络课程答疑；</w:t>
      </w:r>
    </w:p>
    <w:p>
      <w:pPr>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5、作业不得抄袭、敷衍、拖延，须独立、按时完成作业；</w:t>
      </w:r>
    </w:p>
    <w:p>
      <w:pPr>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6、诚信考试、遵守考场纪律，考试不作弊，不得找人替考或替他人考试；</w:t>
      </w:r>
    </w:p>
    <w:p>
      <w:pPr>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7、毕业论文写作不得抄袭、剽窃、篡改</w:t>
      </w:r>
      <w:r>
        <w:rPr>
          <w:rFonts w:hint="eastAsia" w:ascii="宋体" w:hAnsi="宋体" w:eastAsia="宋体" w:cs="宋体"/>
          <w:color w:val="auto"/>
          <w:szCs w:val="21"/>
        </w:rPr>
        <w:t>他人作品和学术成果</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不得</w:t>
      </w:r>
      <w:r>
        <w:rPr>
          <w:rFonts w:hint="eastAsia" w:ascii="宋体" w:hAnsi="宋体" w:eastAsia="宋体" w:cs="宋体"/>
          <w:color w:val="auto"/>
          <w:szCs w:val="21"/>
        </w:rPr>
        <w:t>伪造数据</w:t>
      </w:r>
      <w:r>
        <w:rPr>
          <w:rFonts w:hint="eastAsia" w:ascii="宋体" w:hAnsi="宋体" w:eastAsia="宋体" w:cs="宋体"/>
          <w:color w:val="auto"/>
          <w:szCs w:val="21"/>
          <w:lang w:eastAsia="zh-CN"/>
        </w:rPr>
        <w:t>；</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8、不得</w:t>
      </w:r>
      <w:r>
        <w:rPr>
          <w:rFonts w:hint="eastAsia" w:ascii="宋体" w:hAnsi="宋体" w:eastAsia="宋体" w:cs="宋体"/>
          <w:color w:val="auto"/>
          <w:szCs w:val="21"/>
        </w:rPr>
        <w:t>购买、出售学位论文或者组织学位论文买卖</w:t>
      </w:r>
      <w:r>
        <w:rPr>
          <w:rFonts w:hint="eastAsia" w:ascii="宋体" w:hAnsi="宋体" w:eastAsia="宋体" w:cs="宋体"/>
          <w:color w:val="auto"/>
          <w:szCs w:val="21"/>
          <w:lang w:eastAsia="zh-CN"/>
        </w:rPr>
        <w:t>；</w:t>
      </w:r>
      <w:r>
        <w:rPr>
          <w:rFonts w:hint="eastAsia" w:ascii="宋体" w:hAnsi="宋体" w:eastAsia="宋体" w:cs="宋体"/>
          <w:color w:val="auto"/>
          <w:szCs w:val="21"/>
        </w:rPr>
        <w:t xml:space="preserve"> </w:t>
      </w:r>
    </w:p>
    <w:p>
      <w:pPr>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9、不得</w:t>
      </w:r>
      <w:r>
        <w:rPr>
          <w:rFonts w:hint="eastAsia" w:ascii="宋体" w:hAnsi="宋体" w:eastAsia="宋体" w:cs="宋体"/>
          <w:color w:val="auto"/>
          <w:szCs w:val="21"/>
        </w:rPr>
        <w:t>由他人代写、为他人代写学位论文或者组织学位论文代写</w:t>
      </w:r>
      <w:r>
        <w:rPr>
          <w:rFonts w:hint="eastAsia" w:ascii="宋体" w:hAnsi="宋体" w:eastAsia="宋体" w:cs="宋体"/>
          <w:color w:val="auto"/>
          <w:szCs w:val="21"/>
          <w:lang w:eastAsia="zh-CN"/>
        </w:rPr>
        <w:t>。</w:t>
      </w:r>
      <w:r>
        <w:rPr>
          <w:rFonts w:hint="eastAsia" w:ascii="宋体" w:hAnsi="宋体" w:eastAsia="宋体" w:cs="宋体"/>
          <w:color w:val="auto"/>
          <w:szCs w:val="21"/>
        </w:rPr>
        <w:t xml:space="preserve"> </w:t>
      </w:r>
    </w:p>
    <w:p>
      <w:pPr>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同学们，让我们从自身做起，严格自律，互相监督，杜绝不良风气；牢记“崇德博学、砺志尚实”的校训和“严谨、勤奋、求实、创新”的优良校风，弘扬“积极向上、爱校荣校、崇尚学术、追求卓越、敬业奉献”的东华精神；树立积极健康的学习观，端正学习态度，</w:t>
      </w:r>
      <w:r>
        <w:rPr>
          <w:rFonts w:hint="eastAsia" w:ascii="宋体" w:hAnsi="宋体" w:eastAsia="宋体" w:cs="宋体"/>
          <w:color w:val="auto"/>
          <w:szCs w:val="21"/>
        </w:rPr>
        <w:t>恪守学术道德和学术规范</w:t>
      </w:r>
      <w:r>
        <w:rPr>
          <w:rFonts w:hint="eastAsia" w:ascii="宋体" w:hAnsi="宋体" w:eastAsia="宋体" w:cs="宋体"/>
          <w:color w:val="auto"/>
          <w:szCs w:val="21"/>
          <w:lang w:eastAsia="zh-CN"/>
        </w:rPr>
        <w:t>，成为优良学风的践行者。</w:t>
      </w:r>
    </w:p>
    <w:p>
      <w:pPr>
        <w:rPr>
          <w:rFonts w:hint="eastAsia" w:ascii="宋体" w:hAnsi="宋体" w:eastAsia="宋体" w:cs="宋体"/>
          <w:color w:val="auto"/>
          <w:szCs w:val="21"/>
          <w:lang w:val="en-US" w:eastAsia="zh-CN"/>
        </w:rPr>
      </w:pPr>
    </w:p>
    <w:p>
      <w:pPr>
        <w:ind w:firstLine="420" w:firstLineChars="200"/>
        <w:rPr>
          <w:rFonts w:hint="eastAsia" w:ascii="宋体" w:hAnsi="宋体" w:eastAsia="宋体" w:cs="宋体"/>
          <w:color w:val="auto"/>
          <w:sz w:val="21"/>
          <w:szCs w:val="21"/>
          <w:lang w:val="en-US" w:eastAsia="zh-CN"/>
        </w:rPr>
      </w:pPr>
    </w:p>
    <w:p>
      <w:pPr>
        <w:spacing w:line="360" w:lineRule="auto"/>
        <w:rPr>
          <w:rFonts w:hint="eastAsia"/>
          <w:color w:val="auto"/>
          <w:sz w:val="21"/>
          <w:szCs w:val="21"/>
          <w:lang w:val="en-US" w:eastAsia="zh-CN"/>
        </w:rPr>
      </w:pPr>
    </w:p>
    <w:sectPr>
      <w:footerReference r:id="rId11" w:type="default"/>
      <w:footerReference r:id="rId12" w:type="even"/>
      <w:pgSz w:w="11907" w:h="16840"/>
      <w:pgMar w:top="1871" w:right="1797" w:bottom="1984" w:left="1797"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BC7EEE-32CD-4DE4-A730-CB2BC33699DC}"/>
  </w:font>
  <w:font w:name="Courier New">
    <w:panose1 w:val="02070309020205020404"/>
    <w:charset w:val="01"/>
    <w:family w:val="modern"/>
    <w:pitch w:val="default"/>
    <w:sig w:usb0="E0002EFF" w:usb1="C0007843" w:usb2="00000009" w:usb3="00000000" w:csb0="400001FF" w:csb1="FFFF0000"/>
    <w:embedRegular r:id="rId2" w:fontKey="{810EC0CD-3FA0-460C-9D30-93A86D25844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779C853-143F-46E8-A0D5-92F90ADFB2B9}"/>
  </w:font>
  <w:font w:name="Cambria">
    <w:panose1 w:val="02040503050406030204"/>
    <w:charset w:val="00"/>
    <w:family w:val="roman"/>
    <w:pitch w:val="default"/>
    <w:sig w:usb0="E00006FF" w:usb1="420024FF" w:usb2="02000000" w:usb3="00000000" w:csb0="2000019F" w:csb1="00000000"/>
    <w:embedRegular r:id="rId4" w:fontKey="{64860D64-E90E-443E-A308-9FD024CB9C1D}"/>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altName w:val="华文新魏"/>
    <w:panose1 w:val="02010800040101010101"/>
    <w:charset w:val="86"/>
    <w:family w:val="auto"/>
    <w:pitch w:val="default"/>
    <w:sig w:usb0="00000000" w:usb1="00000000" w:usb2="00000000" w:usb3="00000000" w:csb0="00040000" w:csb1="00000000"/>
    <w:embedRegular r:id="rId5" w:fontKey="{95A91743-2E9C-422F-B17A-083F9128AC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6"/>
        <w:tab w:val="clear" w:pos="4153"/>
      </w:tabs>
      <w:jc w:val="both"/>
      <w:rPr>
        <w:rFonts w:hint="eastAsia"/>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p>
                      </w:txbxContent>
                    </wps:txbx>
                    <wps:bodyPr vert="horz" wrap="none" lIns="0" tIns="0" rIns="0" bIns="0" anchor="t" anchorCtr="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Us1t3gEAAL8DAAAOAAAAAAAA&#10;AAEAIAAAAB4BAABkcnMvZTJvRG9jLnhtbFBLBQYAAAAABgAGAFkBAABuBQAAAAA=&#10;">
              <v:fill on="f" focussize="0,0"/>
              <v:stroke on="f"/>
              <v:imagedata o:title=""/>
              <o:lock v:ext="edit" aspectratio="f"/>
              <v:textbox inset="0mm,0mm,0mm,0mm" style="mso-fit-shape-to-text:t;">
                <w:txbxContent>
                  <w:p>
                    <w:pPr>
                      <w:pStyle w:val="10"/>
                      <w:rPr>
                        <w:rFonts w:hint="eastAsia" w:eastAsia="宋体"/>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Jh4x98BAAC/AwAADgAAAAAA&#10;AAABACAAAAAeAQAAZHJzL2Uyb0RvYy54bWxQSwUGAAAAAAYABgBZAQAAbwU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8zD8oBAACaAwAADgAAAGRycy9lMm9Eb2MueG1srVPNjtMwEL4j8Q6W&#10;79TZrkB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8pcdziwM8/vp9//j7/+kau&#10;X2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s8zD8oBAACaAwAADgAAAAAAAAABACAAAAAeAQAAZHJzL2Uyb0Rv&#10;Yy54bWxQSwUGAAAAAAYABgBZAQAAWgU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fu3OsoBAACaAwAADgAAAGRycy9lMm9Eb2MueG1srVPNjtMwEL4j8Q6W&#10;79TZglZ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W8ocdziwM8/vp9//j7/+kZe&#10;X2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xfu3OsoBAACaAwAADgAAAAAAAAABACAAAAAeAQAAZHJzL2Uyb0Rv&#10;Yy54bWxQSwUGAAAAAAYABgBZAQAAWgU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5149"/>
        <w:tab w:val="right" w:pos="6231"/>
      </w:tabs>
      <w:spacing w:line="360" w:lineRule="exact"/>
      <w:jc w:val="right"/>
      <w:rPr>
        <w:color w:val="FFFFFF"/>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2091F"/>
    <w:multiLevelType w:val="singleLevel"/>
    <w:tmpl w:val="9492091F"/>
    <w:lvl w:ilvl="0" w:tentative="0">
      <w:start w:val="4"/>
      <w:numFmt w:val="decimal"/>
      <w:suff w:val="nothing"/>
      <w:lvlText w:val="%1、"/>
      <w:lvlJc w:val="left"/>
    </w:lvl>
  </w:abstractNum>
  <w:abstractNum w:abstractNumId="1">
    <w:nsid w:val="00000006"/>
    <w:multiLevelType w:val="multilevel"/>
    <w:tmpl w:val="00000006"/>
    <w:lvl w:ilvl="0" w:tentative="0">
      <w:start w:val="1"/>
      <w:numFmt w:val="japaneseCounting"/>
      <w:lvlText w:val="（%1）"/>
      <w:lvlJc w:val="left"/>
      <w:pPr>
        <w:ind w:left="3265" w:hanging="855"/>
      </w:pPr>
      <w:rPr>
        <w:rFonts w:hint="default"/>
      </w:rPr>
    </w:lvl>
    <w:lvl w:ilvl="1" w:tentative="0">
      <w:start w:val="1"/>
      <w:numFmt w:val="decimal"/>
      <w:lvlText w:val="%2、"/>
      <w:lvlJc w:val="left"/>
      <w:pPr>
        <w:ind w:left="3550" w:hanging="720"/>
      </w:pPr>
      <w:rPr>
        <w:rFonts w:hint="default"/>
      </w:rPr>
    </w:lvl>
    <w:lvl w:ilvl="2" w:tentative="0">
      <w:start w:val="1"/>
      <w:numFmt w:val="lowerRoman"/>
      <w:lvlRestart w:val="0"/>
      <w:lvlText w:val="%3."/>
      <w:lvlJc w:val="right"/>
      <w:pPr>
        <w:ind w:left="3670" w:hanging="420"/>
      </w:pPr>
    </w:lvl>
    <w:lvl w:ilvl="3" w:tentative="0">
      <w:start w:val="1"/>
      <w:numFmt w:val="decimal"/>
      <w:lvlRestart w:val="0"/>
      <w:lvlText w:val="%4."/>
      <w:lvlJc w:val="left"/>
      <w:pPr>
        <w:ind w:left="4090" w:hanging="420"/>
      </w:pPr>
    </w:lvl>
    <w:lvl w:ilvl="4" w:tentative="0">
      <w:start w:val="1"/>
      <w:numFmt w:val="lowerLetter"/>
      <w:lvlRestart w:val="0"/>
      <w:lvlText w:val="%5)"/>
      <w:lvlJc w:val="left"/>
      <w:pPr>
        <w:ind w:left="4510" w:hanging="420"/>
      </w:pPr>
    </w:lvl>
    <w:lvl w:ilvl="5" w:tentative="0">
      <w:start w:val="1"/>
      <w:numFmt w:val="lowerRoman"/>
      <w:lvlRestart w:val="0"/>
      <w:lvlText w:val="%6."/>
      <w:lvlJc w:val="right"/>
      <w:pPr>
        <w:ind w:left="4930" w:hanging="420"/>
      </w:pPr>
    </w:lvl>
    <w:lvl w:ilvl="6" w:tentative="0">
      <w:start w:val="1"/>
      <w:numFmt w:val="decimal"/>
      <w:lvlRestart w:val="0"/>
      <w:lvlText w:val="%7."/>
      <w:lvlJc w:val="left"/>
      <w:pPr>
        <w:ind w:left="5350" w:hanging="420"/>
      </w:pPr>
    </w:lvl>
    <w:lvl w:ilvl="7" w:tentative="0">
      <w:start w:val="1"/>
      <w:numFmt w:val="lowerLetter"/>
      <w:lvlRestart w:val="0"/>
      <w:lvlText w:val="%8)"/>
      <w:lvlJc w:val="left"/>
      <w:pPr>
        <w:ind w:left="5770" w:hanging="420"/>
      </w:pPr>
    </w:lvl>
    <w:lvl w:ilvl="8" w:tentative="0">
      <w:start w:val="1"/>
      <w:numFmt w:val="lowerRoman"/>
      <w:lvlRestart w:val="0"/>
      <w:lvlText w:val="%9."/>
      <w:lvlJc w:val="right"/>
      <w:pPr>
        <w:ind w:left="6190" w:hanging="420"/>
      </w:pPr>
    </w:lvl>
  </w:abstractNum>
  <w:abstractNum w:abstractNumId="2">
    <w:nsid w:val="00000007"/>
    <w:multiLevelType w:val="multilevel"/>
    <w:tmpl w:val="00000007"/>
    <w:lvl w:ilvl="0" w:tentative="0">
      <w:start w:val="1"/>
      <w:numFmt w:val="decimal"/>
      <w:lvlText w:val="%1、"/>
      <w:lvlJc w:val="left"/>
      <w:pPr>
        <w:ind w:left="1290" w:hanging="720"/>
      </w:pPr>
      <w:rPr>
        <w:rFonts w:hint="default"/>
      </w:rPr>
    </w:lvl>
    <w:lvl w:ilvl="1" w:tentative="0">
      <w:start w:val="1"/>
      <w:numFmt w:val="lowerLetter"/>
      <w:lvlRestart w:val="0"/>
      <w:lvlText w:val="%2)"/>
      <w:lvlJc w:val="left"/>
      <w:pPr>
        <w:ind w:left="1410" w:hanging="420"/>
      </w:pPr>
    </w:lvl>
    <w:lvl w:ilvl="2" w:tentative="0">
      <w:start w:val="1"/>
      <w:numFmt w:val="lowerRoman"/>
      <w:lvlRestart w:val="0"/>
      <w:lvlText w:val="%3."/>
      <w:lvlJc w:val="right"/>
      <w:pPr>
        <w:ind w:left="1830" w:hanging="420"/>
      </w:pPr>
    </w:lvl>
    <w:lvl w:ilvl="3" w:tentative="0">
      <w:start w:val="1"/>
      <w:numFmt w:val="decimal"/>
      <w:lvlRestart w:val="0"/>
      <w:lvlText w:val="%4."/>
      <w:lvlJc w:val="left"/>
      <w:pPr>
        <w:ind w:left="2250" w:hanging="420"/>
      </w:pPr>
    </w:lvl>
    <w:lvl w:ilvl="4" w:tentative="0">
      <w:start w:val="1"/>
      <w:numFmt w:val="lowerLetter"/>
      <w:lvlRestart w:val="0"/>
      <w:lvlText w:val="%5)"/>
      <w:lvlJc w:val="left"/>
      <w:pPr>
        <w:ind w:left="2670" w:hanging="420"/>
      </w:pPr>
    </w:lvl>
    <w:lvl w:ilvl="5" w:tentative="0">
      <w:start w:val="1"/>
      <w:numFmt w:val="lowerRoman"/>
      <w:lvlRestart w:val="0"/>
      <w:lvlText w:val="%6."/>
      <w:lvlJc w:val="right"/>
      <w:pPr>
        <w:ind w:left="3090" w:hanging="420"/>
      </w:pPr>
    </w:lvl>
    <w:lvl w:ilvl="6" w:tentative="0">
      <w:start w:val="1"/>
      <w:numFmt w:val="decimal"/>
      <w:lvlRestart w:val="0"/>
      <w:lvlText w:val="%7."/>
      <w:lvlJc w:val="left"/>
      <w:pPr>
        <w:ind w:left="3510" w:hanging="420"/>
      </w:pPr>
    </w:lvl>
    <w:lvl w:ilvl="7" w:tentative="0">
      <w:start w:val="1"/>
      <w:numFmt w:val="lowerLetter"/>
      <w:lvlRestart w:val="0"/>
      <w:lvlText w:val="%8)"/>
      <w:lvlJc w:val="left"/>
      <w:pPr>
        <w:ind w:left="3930" w:hanging="420"/>
      </w:pPr>
    </w:lvl>
    <w:lvl w:ilvl="8" w:tentative="0">
      <w:start w:val="1"/>
      <w:numFmt w:val="lowerRoman"/>
      <w:lvlRestart w:val="0"/>
      <w:lvlText w:val="%9."/>
      <w:lvlJc w:val="right"/>
      <w:pPr>
        <w:ind w:left="4350" w:hanging="420"/>
      </w:pPr>
    </w:lvl>
  </w:abstractNum>
  <w:abstractNum w:abstractNumId="3">
    <w:nsid w:val="14725F7C"/>
    <w:multiLevelType w:val="singleLevel"/>
    <w:tmpl w:val="14725F7C"/>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3YzM2NDZkOTkxZGMzNDAwZWY4MjFmZjY3ZjYyZDEifQ=="/>
    <w:docVar w:name="KSO_WPS_MARK_KEY" w:val="ed431a00-68f7-4586-9d45-fff85079c635"/>
  </w:docVars>
  <w:rsids>
    <w:rsidRoot w:val="00172A27"/>
    <w:rsid w:val="0001288B"/>
    <w:rsid w:val="0004224C"/>
    <w:rsid w:val="00053FAE"/>
    <w:rsid w:val="0006269E"/>
    <w:rsid w:val="00065366"/>
    <w:rsid w:val="0009086A"/>
    <w:rsid w:val="00092A9F"/>
    <w:rsid w:val="00096142"/>
    <w:rsid w:val="000A278B"/>
    <w:rsid w:val="000B2AAA"/>
    <w:rsid w:val="000C089F"/>
    <w:rsid w:val="000C3597"/>
    <w:rsid w:val="000E0947"/>
    <w:rsid w:val="001004FA"/>
    <w:rsid w:val="00106F2E"/>
    <w:rsid w:val="00112D4B"/>
    <w:rsid w:val="001133D2"/>
    <w:rsid w:val="00137E67"/>
    <w:rsid w:val="00160018"/>
    <w:rsid w:val="00166ED0"/>
    <w:rsid w:val="00173AF4"/>
    <w:rsid w:val="001A583F"/>
    <w:rsid w:val="001C746B"/>
    <w:rsid w:val="001C7A78"/>
    <w:rsid w:val="001E6FFF"/>
    <w:rsid w:val="001F0D1A"/>
    <w:rsid w:val="001F1C30"/>
    <w:rsid w:val="001F5227"/>
    <w:rsid w:val="0024371F"/>
    <w:rsid w:val="0024438E"/>
    <w:rsid w:val="002471E9"/>
    <w:rsid w:val="002575EC"/>
    <w:rsid w:val="00280551"/>
    <w:rsid w:val="00297B2D"/>
    <w:rsid w:val="002A7583"/>
    <w:rsid w:val="002B1A38"/>
    <w:rsid w:val="002C22E1"/>
    <w:rsid w:val="002C5A81"/>
    <w:rsid w:val="002D6243"/>
    <w:rsid w:val="00317347"/>
    <w:rsid w:val="003234B8"/>
    <w:rsid w:val="0035055F"/>
    <w:rsid w:val="003523A2"/>
    <w:rsid w:val="00356C9A"/>
    <w:rsid w:val="003674BC"/>
    <w:rsid w:val="00383F51"/>
    <w:rsid w:val="003B5258"/>
    <w:rsid w:val="003C3ACE"/>
    <w:rsid w:val="003C4784"/>
    <w:rsid w:val="00401292"/>
    <w:rsid w:val="004014BA"/>
    <w:rsid w:val="00404E81"/>
    <w:rsid w:val="00415B80"/>
    <w:rsid w:val="004204A7"/>
    <w:rsid w:val="0044310D"/>
    <w:rsid w:val="00470E72"/>
    <w:rsid w:val="004A28AF"/>
    <w:rsid w:val="004B577C"/>
    <w:rsid w:val="004B64F6"/>
    <w:rsid w:val="004B7ED0"/>
    <w:rsid w:val="004C04A7"/>
    <w:rsid w:val="00505193"/>
    <w:rsid w:val="00513244"/>
    <w:rsid w:val="005624B7"/>
    <w:rsid w:val="005A2570"/>
    <w:rsid w:val="005B1042"/>
    <w:rsid w:val="005C0827"/>
    <w:rsid w:val="005E32C4"/>
    <w:rsid w:val="005F6AF6"/>
    <w:rsid w:val="006066B8"/>
    <w:rsid w:val="006176BE"/>
    <w:rsid w:val="00617BC9"/>
    <w:rsid w:val="006328EE"/>
    <w:rsid w:val="0063747D"/>
    <w:rsid w:val="00640678"/>
    <w:rsid w:val="0065338F"/>
    <w:rsid w:val="00656515"/>
    <w:rsid w:val="00685454"/>
    <w:rsid w:val="00687D18"/>
    <w:rsid w:val="006966D5"/>
    <w:rsid w:val="006A2FB7"/>
    <w:rsid w:val="006F0F9F"/>
    <w:rsid w:val="006F2B5D"/>
    <w:rsid w:val="00700695"/>
    <w:rsid w:val="00703849"/>
    <w:rsid w:val="00705A07"/>
    <w:rsid w:val="00714247"/>
    <w:rsid w:val="007236D5"/>
    <w:rsid w:val="00731936"/>
    <w:rsid w:val="00734DCE"/>
    <w:rsid w:val="0074456E"/>
    <w:rsid w:val="007455A4"/>
    <w:rsid w:val="0079193F"/>
    <w:rsid w:val="007A58B3"/>
    <w:rsid w:val="007B0485"/>
    <w:rsid w:val="007C4DFA"/>
    <w:rsid w:val="007D21AF"/>
    <w:rsid w:val="007D7F5B"/>
    <w:rsid w:val="008029AF"/>
    <w:rsid w:val="008068BD"/>
    <w:rsid w:val="00832FC3"/>
    <w:rsid w:val="00833ADC"/>
    <w:rsid w:val="00833E6D"/>
    <w:rsid w:val="00844980"/>
    <w:rsid w:val="0088698A"/>
    <w:rsid w:val="008C7519"/>
    <w:rsid w:val="008D6689"/>
    <w:rsid w:val="008D7971"/>
    <w:rsid w:val="008E4857"/>
    <w:rsid w:val="00920D7A"/>
    <w:rsid w:val="00934FD1"/>
    <w:rsid w:val="00936A90"/>
    <w:rsid w:val="009456FF"/>
    <w:rsid w:val="00951C8E"/>
    <w:rsid w:val="0096372C"/>
    <w:rsid w:val="00980214"/>
    <w:rsid w:val="009862BF"/>
    <w:rsid w:val="009D5D3E"/>
    <w:rsid w:val="00A0538C"/>
    <w:rsid w:val="00A10180"/>
    <w:rsid w:val="00A14786"/>
    <w:rsid w:val="00A17E06"/>
    <w:rsid w:val="00A22EBE"/>
    <w:rsid w:val="00A3016C"/>
    <w:rsid w:val="00A41ED2"/>
    <w:rsid w:val="00A52E39"/>
    <w:rsid w:val="00A63677"/>
    <w:rsid w:val="00A72A4C"/>
    <w:rsid w:val="00AA18E7"/>
    <w:rsid w:val="00AC200F"/>
    <w:rsid w:val="00AC30D4"/>
    <w:rsid w:val="00B07070"/>
    <w:rsid w:val="00B11DFD"/>
    <w:rsid w:val="00B1324E"/>
    <w:rsid w:val="00B17910"/>
    <w:rsid w:val="00B7684C"/>
    <w:rsid w:val="00B91547"/>
    <w:rsid w:val="00BA1938"/>
    <w:rsid w:val="00BC625B"/>
    <w:rsid w:val="00BE6A7F"/>
    <w:rsid w:val="00BF5EBD"/>
    <w:rsid w:val="00C0337C"/>
    <w:rsid w:val="00C05FB4"/>
    <w:rsid w:val="00C06DC5"/>
    <w:rsid w:val="00C20829"/>
    <w:rsid w:val="00C30920"/>
    <w:rsid w:val="00C36651"/>
    <w:rsid w:val="00C46F99"/>
    <w:rsid w:val="00C77567"/>
    <w:rsid w:val="00C8190D"/>
    <w:rsid w:val="00C91FA4"/>
    <w:rsid w:val="00C954BC"/>
    <w:rsid w:val="00CA3EC1"/>
    <w:rsid w:val="00CB7CB5"/>
    <w:rsid w:val="00CC2287"/>
    <w:rsid w:val="00CF3830"/>
    <w:rsid w:val="00D02163"/>
    <w:rsid w:val="00D0544D"/>
    <w:rsid w:val="00D20486"/>
    <w:rsid w:val="00D25D5F"/>
    <w:rsid w:val="00D27E17"/>
    <w:rsid w:val="00D66DD0"/>
    <w:rsid w:val="00D70543"/>
    <w:rsid w:val="00D809D1"/>
    <w:rsid w:val="00DB1BB0"/>
    <w:rsid w:val="00DC2884"/>
    <w:rsid w:val="00DC3FFF"/>
    <w:rsid w:val="00DC76A9"/>
    <w:rsid w:val="00E07748"/>
    <w:rsid w:val="00E147A7"/>
    <w:rsid w:val="00E1490A"/>
    <w:rsid w:val="00E160BC"/>
    <w:rsid w:val="00E230B5"/>
    <w:rsid w:val="00E30172"/>
    <w:rsid w:val="00E339A6"/>
    <w:rsid w:val="00E3749F"/>
    <w:rsid w:val="00E400C9"/>
    <w:rsid w:val="00E4091B"/>
    <w:rsid w:val="00E45FD3"/>
    <w:rsid w:val="00E5627C"/>
    <w:rsid w:val="00E663E2"/>
    <w:rsid w:val="00E72C13"/>
    <w:rsid w:val="00E77A9E"/>
    <w:rsid w:val="00EA56AD"/>
    <w:rsid w:val="00EB14B5"/>
    <w:rsid w:val="00ED4B16"/>
    <w:rsid w:val="00EE56B5"/>
    <w:rsid w:val="00F62004"/>
    <w:rsid w:val="00FC1C64"/>
    <w:rsid w:val="00FE200A"/>
    <w:rsid w:val="00FF758A"/>
    <w:rsid w:val="01E52B01"/>
    <w:rsid w:val="01FD7A67"/>
    <w:rsid w:val="025608F0"/>
    <w:rsid w:val="02F64C9D"/>
    <w:rsid w:val="04114FBB"/>
    <w:rsid w:val="05384964"/>
    <w:rsid w:val="07CD295E"/>
    <w:rsid w:val="07CF3A69"/>
    <w:rsid w:val="08175080"/>
    <w:rsid w:val="08542720"/>
    <w:rsid w:val="08DD44C0"/>
    <w:rsid w:val="092702FE"/>
    <w:rsid w:val="094B4633"/>
    <w:rsid w:val="09B80D09"/>
    <w:rsid w:val="0AA517B1"/>
    <w:rsid w:val="0AD405E6"/>
    <w:rsid w:val="0AFF1815"/>
    <w:rsid w:val="0BB31D2E"/>
    <w:rsid w:val="0CCB67A3"/>
    <w:rsid w:val="0D620062"/>
    <w:rsid w:val="0F240484"/>
    <w:rsid w:val="0F4B6753"/>
    <w:rsid w:val="12066F3D"/>
    <w:rsid w:val="13106C7A"/>
    <w:rsid w:val="13505309"/>
    <w:rsid w:val="141F5894"/>
    <w:rsid w:val="14A03B71"/>
    <w:rsid w:val="17A5767B"/>
    <w:rsid w:val="185405B8"/>
    <w:rsid w:val="187F0F89"/>
    <w:rsid w:val="189B3AC2"/>
    <w:rsid w:val="1932468E"/>
    <w:rsid w:val="1B0F244C"/>
    <w:rsid w:val="1D1D7568"/>
    <w:rsid w:val="1D680F8A"/>
    <w:rsid w:val="1DD0737C"/>
    <w:rsid w:val="1E2B5AEA"/>
    <w:rsid w:val="1E686C52"/>
    <w:rsid w:val="1EA761E5"/>
    <w:rsid w:val="1F7022A0"/>
    <w:rsid w:val="217925E7"/>
    <w:rsid w:val="219D4123"/>
    <w:rsid w:val="22904AE6"/>
    <w:rsid w:val="22AB4F4B"/>
    <w:rsid w:val="22BC54B4"/>
    <w:rsid w:val="236A2E87"/>
    <w:rsid w:val="24F627AC"/>
    <w:rsid w:val="256D28EB"/>
    <w:rsid w:val="25F253A6"/>
    <w:rsid w:val="25FE263F"/>
    <w:rsid w:val="26622316"/>
    <w:rsid w:val="266F2851"/>
    <w:rsid w:val="26AF019C"/>
    <w:rsid w:val="26F9258E"/>
    <w:rsid w:val="26F96D7F"/>
    <w:rsid w:val="27117D5E"/>
    <w:rsid w:val="27F974B7"/>
    <w:rsid w:val="281159A0"/>
    <w:rsid w:val="28881FDA"/>
    <w:rsid w:val="28D50EC8"/>
    <w:rsid w:val="29ED5341"/>
    <w:rsid w:val="2A703001"/>
    <w:rsid w:val="2AED4FA9"/>
    <w:rsid w:val="2C0705F9"/>
    <w:rsid w:val="2C413398"/>
    <w:rsid w:val="2C570CDF"/>
    <w:rsid w:val="2D412749"/>
    <w:rsid w:val="2D716C0B"/>
    <w:rsid w:val="2E1A3139"/>
    <w:rsid w:val="2E335490"/>
    <w:rsid w:val="2FBE5F73"/>
    <w:rsid w:val="2FF63FA8"/>
    <w:rsid w:val="30700EB3"/>
    <w:rsid w:val="31480D66"/>
    <w:rsid w:val="319B4244"/>
    <w:rsid w:val="319D6BEE"/>
    <w:rsid w:val="31DD60B8"/>
    <w:rsid w:val="32F052AD"/>
    <w:rsid w:val="3311456D"/>
    <w:rsid w:val="34DE76C7"/>
    <w:rsid w:val="34F808B7"/>
    <w:rsid w:val="3507501B"/>
    <w:rsid w:val="357E4910"/>
    <w:rsid w:val="36311C39"/>
    <w:rsid w:val="36B67A8E"/>
    <w:rsid w:val="36BA6F26"/>
    <w:rsid w:val="37153401"/>
    <w:rsid w:val="37291E4B"/>
    <w:rsid w:val="37476E97"/>
    <w:rsid w:val="3A702753"/>
    <w:rsid w:val="3C8A17DF"/>
    <w:rsid w:val="3CC06649"/>
    <w:rsid w:val="3D92712E"/>
    <w:rsid w:val="3DDD1FE6"/>
    <w:rsid w:val="3E140B7E"/>
    <w:rsid w:val="3E436767"/>
    <w:rsid w:val="3EEE117E"/>
    <w:rsid w:val="40574CFC"/>
    <w:rsid w:val="41A005DF"/>
    <w:rsid w:val="41D04413"/>
    <w:rsid w:val="41E9214D"/>
    <w:rsid w:val="4236529D"/>
    <w:rsid w:val="42F45302"/>
    <w:rsid w:val="446723D4"/>
    <w:rsid w:val="44CF51E3"/>
    <w:rsid w:val="44D10D0F"/>
    <w:rsid w:val="46706CC4"/>
    <w:rsid w:val="46D461B2"/>
    <w:rsid w:val="46E509B1"/>
    <w:rsid w:val="46EA1D3D"/>
    <w:rsid w:val="472540B4"/>
    <w:rsid w:val="47514D44"/>
    <w:rsid w:val="48AD4730"/>
    <w:rsid w:val="49C83E68"/>
    <w:rsid w:val="49D14687"/>
    <w:rsid w:val="4A214347"/>
    <w:rsid w:val="4A687A06"/>
    <w:rsid w:val="4B6A4199"/>
    <w:rsid w:val="4BC9290B"/>
    <w:rsid w:val="4C5D1C75"/>
    <w:rsid w:val="4D185106"/>
    <w:rsid w:val="4D814E12"/>
    <w:rsid w:val="4E0C7FB9"/>
    <w:rsid w:val="4E7C5AD8"/>
    <w:rsid w:val="4EB838E2"/>
    <w:rsid w:val="4FB61D25"/>
    <w:rsid w:val="50827ACE"/>
    <w:rsid w:val="52635075"/>
    <w:rsid w:val="52730954"/>
    <w:rsid w:val="52E76D6A"/>
    <w:rsid w:val="54817D35"/>
    <w:rsid w:val="54AF0CCE"/>
    <w:rsid w:val="55A239B9"/>
    <w:rsid w:val="55AA6399"/>
    <w:rsid w:val="56634801"/>
    <w:rsid w:val="571A4E0E"/>
    <w:rsid w:val="583F2163"/>
    <w:rsid w:val="58C163D9"/>
    <w:rsid w:val="58F92897"/>
    <w:rsid w:val="593E0A00"/>
    <w:rsid w:val="5A380096"/>
    <w:rsid w:val="5BE3370C"/>
    <w:rsid w:val="5BE93433"/>
    <w:rsid w:val="5C05700A"/>
    <w:rsid w:val="5DCF008F"/>
    <w:rsid w:val="5E234A62"/>
    <w:rsid w:val="5F15639D"/>
    <w:rsid w:val="5F2F72A4"/>
    <w:rsid w:val="60CB4E59"/>
    <w:rsid w:val="61AF3260"/>
    <w:rsid w:val="625D4EE6"/>
    <w:rsid w:val="62917AB9"/>
    <w:rsid w:val="635B4617"/>
    <w:rsid w:val="6370083E"/>
    <w:rsid w:val="641949D6"/>
    <w:rsid w:val="6439038E"/>
    <w:rsid w:val="64480321"/>
    <w:rsid w:val="647D5FE3"/>
    <w:rsid w:val="65AB4DC1"/>
    <w:rsid w:val="65EC0455"/>
    <w:rsid w:val="66AF1B6C"/>
    <w:rsid w:val="670B2951"/>
    <w:rsid w:val="67401089"/>
    <w:rsid w:val="677A0B0B"/>
    <w:rsid w:val="67D0240D"/>
    <w:rsid w:val="684F6FFB"/>
    <w:rsid w:val="68770CCE"/>
    <w:rsid w:val="68B73708"/>
    <w:rsid w:val="6A3517CA"/>
    <w:rsid w:val="6C2C513B"/>
    <w:rsid w:val="6DE44E65"/>
    <w:rsid w:val="6E25228B"/>
    <w:rsid w:val="6E4E19F4"/>
    <w:rsid w:val="6E8F3B16"/>
    <w:rsid w:val="6EB10C80"/>
    <w:rsid w:val="707B7B25"/>
    <w:rsid w:val="72D3702E"/>
    <w:rsid w:val="742C7408"/>
    <w:rsid w:val="74730CF0"/>
    <w:rsid w:val="75226272"/>
    <w:rsid w:val="759965FB"/>
    <w:rsid w:val="78451AE3"/>
    <w:rsid w:val="78DE13D2"/>
    <w:rsid w:val="78F2333F"/>
    <w:rsid w:val="7A0F0306"/>
    <w:rsid w:val="7AF8597F"/>
    <w:rsid w:val="7B1D2271"/>
    <w:rsid w:val="7C160348"/>
    <w:rsid w:val="7DB51CFE"/>
    <w:rsid w:val="7E554451"/>
    <w:rsid w:val="7EA11134"/>
    <w:rsid w:val="7FE65D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lang w:val="en-US" w:eastAsia="zh-CN" w:bidi="ar-SA"/>
    </w:rPr>
  </w:style>
  <w:style w:type="paragraph" w:styleId="2">
    <w:name w:val="heading 1"/>
    <w:basedOn w:val="1"/>
    <w:next w:val="1"/>
    <w:link w:val="20"/>
    <w:qFormat/>
    <w:uiPriority w:val="0"/>
    <w:pPr>
      <w:keepNext/>
      <w:keepLines/>
      <w:snapToGrid w:val="0"/>
      <w:spacing w:before="340" w:beforeLines="0" w:after="330" w:afterLines="0" w:line="360" w:lineRule="auto"/>
      <w:jc w:val="center"/>
      <w:outlineLvl w:val="0"/>
    </w:pPr>
    <w:rPr>
      <w:rFonts w:ascii="Times New Roman" w:hAnsi="Times New Roman" w:eastAsia="宋体" w:cs="Times New Roman"/>
      <w:b/>
      <w:bCs/>
      <w:kern w:val="44"/>
      <w:sz w:val="30"/>
      <w:szCs w:val="30"/>
    </w:rPr>
  </w:style>
  <w:style w:type="paragraph" w:styleId="3">
    <w:name w:val="heading 2"/>
    <w:basedOn w:val="1"/>
    <w:next w:val="1"/>
    <w:link w:val="21"/>
    <w:qFormat/>
    <w:uiPriority w:val="0"/>
    <w:pPr>
      <w:keepNext/>
      <w:keepLines/>
      <w:spacing w:before="260" w:beforeLines="0" w:after="260" w:afterLines="0" w:line="413" w:lineRule="auto"/>
      <w:outlineLvl w:val="1"/>
    </w:pPr>
    <w:rPr>
      <w:rFonts w:ascii="Cambria" w:hAnsi="Cambria" w:eastAsia="宋体" w:cs="Times New Roman"/>
      <w:b/>
      <w:bCs/>
      <w:sz w:val="32"/>
      <w:szCs w:val="32"/>
    </w:rPr>
  </w:style>
  <w:style w:type="paragraph" w:styleId="4">
    <w:name w:val="heading 3"/>
    <w:basedOn w:val="1"/>
    <w:next w:val="1"/>
    <w:link w:val="22"/>
    <w:qFormat/>
    <w:uiPriority w:val="0"/>
    <w:pPr>
      <w:keepNext/>
      <w:keepLines/>
      <w:spacing w:before="260" w:beforeLines="0" w:beforeAutospacing="0" w:after="260" w:afterLines="0" w:afterAutospacing="0" w:line="413" w:lineRule="auto"/>
      <w:outlineLvl w:val="2"/>
    </w:pPr>
    <w:rPr>
      <w:rFonts w:eastAsia="黑体"/>
      <w:b/>
    </w:rPr>
  </w:style>
  <w:style w:type="character" w:default="1" w:styleId="16">
    <w:name w:val="Default Paragraph Font"/>
    <w:uiPriority w:val="0"/>
  </w:style>
  <w:style w:type="table" w:default="1" w:styleId="15">
    <w:name w:val="Normal Table"/>
    <w:semiHidden/>
    <w:uiPriority w:val="0"/>
    <w:tblPr>
      <w:tblCellMar>
        <w:top w:w="0" w:type="dxa"/>
        <w:left w:w="108" w:type="dxa"/>
        <w:bottom w:w="0" w:type="dxa"/>
        <w:right w:w="108" w:type="dxa"/>
      </w:tblCellMar>
    </w:tblPr>
  </w:style>
  <w:style w:type="paragraph" w:styleId="5">
    <w:name w:val="Document Map"/>
    <w:basedOn w:val="1"/>
    <w:link w:val="23"/>
    <w:semiHidden/>
    <w:uiPriority w:val="0"/>
    <w:pPr>
      <w:shd w:val="clear" w:color="auto" w:fill="000080"/>
    </w:pPr>
  </w:style>
  <w:style w:type="paragraph" w:styleId="6">
    <w:name w:val="Body Text"/>
    <w:basedOn w:val="1"/>
    <w:link w:val="24"/>
    <w:uiPriority w:val="0"/>
    <w:pPr>
      <w:tabs>
        <w:tab w:val="left" w:pos="360"/>
        <w:tab w:val="left" w:pos="540"/>
      </w:tabs>
      <w:jc w:val="left"/>
    </w:pPr>
    <w:rPr>
      <w:rFonts w:eastAsia="楷体_GB2312"/>
      <w:kern w:val="0"/>
      <w:sz w:val="30"/>
      <w:szCs w:val="24"/>
    </w:rPr>
  </w:style>
  <w:style w:type="paragraph" w:styleId="7">
    <w:name w:val="Body Text Indent"/>
    <w:basedOn w:val="1"/>
    <w:link w:val="25"/>
    <w:uiPriority w:val="0"/>
    <w:pPr>
      <w:ind w:firstLine="420" w:firstLineChars="200"/>
    </w:pPr>
    <w:rPr>
      <w:rFonts w:ascii="宋体" w:hAnsi="宋体" w:eastAsia="宋体" w:cs="Times New Roman"/>
      <w:color w:val="000000"/>
      <w:kern w:val="0"/>
      <w:szCs w:val="20"/>
    </w:rPr>
  </w:style>
  <w:style w:type="paragraph" w:styleId="8">
    <w:name w:val="Plain Text"/>
    <w:basedOn w:val="1"/>
    <w:link w:val="26"/>
    <w:uiPriority w:val="0"/>
    <w:rPr>
      <w:rFonts w:ascii="宋体" w:hAnsi="Courier New" w:eastAsia="宋体" w:cs="Times New Roman"/>
      <w:szCs w:val="20"/>
    </w:rPr>
  </w:style>
  <w:style w:type="paragraph" w:styleId="9">
    <w:name w:val="Balloon Text"/>
    <w:basedOn w:val="1"/>
    <w:link w:val="27"/>
    <w:semiHidden/>
    <w:uiPriority w:val="0"/>
    <w:rPr>
      <w:sz w:val="18"/>
      <w:szCs w:val="18"/>
    </w:rPr>
  </w:style>
  <w:style w:type="paragraph" w:styleId="10">
    <w:name w:val="footer"/>
    <w:basedOn w:val="1"/>
    <w:link w:val="28"/>
    <w:uiPriority w:val="0"/>
    <w:pPr>
      <w:tabs>
        <w:tab w:val="center" w:pos="4153"/>
        <w:tab w:val="right" w:pos="8306"/>
      </w:tabs>
      <w:snapToGrid w:val="0"/>
      <w:jc w:val="left"/>
    </w:pPr>
    <w:rPr>
      <w:sz w:val="18"/>
    </w:rPr>
  </w:style>
  <w:style w:type="paragraph" w:styleId="11">
    <w:name w:val="header"/>
    <w:basedOn w:val="1"/>
    <w:link w:val="29"/>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toc 1"/>
    <w:basedOn w:val="1"/>
    <w:next w:val="1"/>
    <w:link w:val="30"/>
    <w:uiPriority w:val="0"/>
    <w:pPr>
      <w:spacing w:line="360" w:lineRule="auto"/>
    </w:pPr>
    <w:rPr>
      <w:kern w:val="0"/>
      <w:sz w:val="20"/>
      <w:szCs w:val="21"/>
    </w:rPr>
  </w:style>
  <w:style w:type="paragraph" w:styleId="13">
    <w:name w:val="toc 2"/>
    <w:basedOn w:val="1"/>
    <w:next w:val="1"/>
    <w:uiPriority w:val="39"/>
    <w:pPr>
      <w:ind w:left="420" w:leftChars="200"/>
    </w:pPr>
    <w:rPr>
      <w:rFonts w:ascii="Times New Roman" w:hAnsi="Times New Roman" w:eastAsia="黑体"/>
      <w:sz w:val="24"/>
      <w:szCs w:val="20"/>
    </w:rPr>
  </w:style>
  <w:style w:type="paragraph" w:styleId="14">
    <w:name w:val="Normal (Web)"/>
    <w:basedOn w:val="1"/>
    <w:uiPriority w:val="0"/>
    <w:pPr>
      <w:widowControl/>
      <w:spacing w:before="100" w:beforeLines="0" w:beforeAutospacing="1" w:after="100" w:afterLines="0" w:afterAutospacing="1" w:line="240" w:lineRule="auto"/>
      <w:jc w:val="left"/>
    </w:pPr>
    <w:rPr>
      <w:rFonts w:ascii="宋体" w:hAnsi="宋体" w:cs="宋体"/>
      <w:color w:val="2A2A2A"/>
      <w:kern w:val="0"/>
      <w:sz w:val="20"/>
    </w:rPr>
  </w:style>
  <w:style w:type="character" w:styleId="17">
    <w:name w:val="Strong"/>
    <w:basedOn w:val="16"/>
    <w:qFormat/>
    <w:uiPriority w:val="0"/>
    <w:rPr>
      <w:b/>
      <w:bCs/>
    </w:rPr>
  </w:style>
  <w:style w:type="character" w:styleId="18">
    <w:name w:val="page number"/>
    <w:basedOn w:val="16"/>
    <w:uiPriority w:val="0"/>
  </w:style>
  <w:style w:type="character" w:styleId="19">
    <w:name w:val="Hyperlink"/>
    <w:uiPriority w:val="99"/>
    <w:rPr>
      <w:color w:val="0000FF"/>
      <w:u w:val="single"/>
    </w:rPr>
  </w:style>
  <w:style w:type="character" w:customStyle="1" w:styleId="20">
    <w:name w:val="标题 1 Char"/>
    <w:basedOn w:val="16"/>
    <w:link w:val="2"/>
    <w:uiPriority w:val="0"/>
    <w:rPr>
      <w:b/>
      <w:bCs/>
      <w:kern w:val="44"/>
      <w:sz w:val="30"/>
      <w:szCs w:val="30"/>
    </w:rPr>
  </w:style>
  <w:style w:type="character" w:customStyle="1" w:styleId="21">
    <w:name w:val="标题 2 Char"/>
    <w:basedOn w:val="16"/>
    <w:link w:val="3"/>
    <w:uiPriority w:val="0"/>
    <w:rPr>
      <w:rFonts w:ascii="Cambria" w:hAnsi="Cambria"/>
      <w:b/>
      <w:bCs/>
      <w:kern w:val="2"/>
      <w:sz w:val="32"/>
      <w:szCs w:val="32"/>
    </w:rPr>
  </w:style>
  <w:style w:type="character" w:customStyle="1" w:styleId="22">
    <w:name w:val="标题 3 Char"/>
    <w:basedOn w:val="16"/>
    <w:link w:val="4"/>
    <w:uiPriority w:val="0"/>
    <w:rPr>
      <w:rFonts w:eastAsia="黑体"/>
      <w:bCs/>
      <w:kern w:val="44"/>
      <w:sz w:val="30"/>
      <w:szCs w:val="30"/>
    </w:rPr>
  </w:style>
  <w:style w:type="character" w:customStyle="1" w:styleId="23">
    <w:name w:val="文档结构图 Char"/>
    <w:basedOn w:val="16"/>
    <w:link w:val="5"/>
    <w:semiHidden/>
    <w:uiPriority w:val="0"/>
    <w:rPr>
      <w:kern w:val="2"/>
      <w:sz w:val="21"/>
      <w:shd w:val="clear" w:color="auto" w:fill="000080"/>
    </w:rPr>
  </w:style>
  <w:style w:type="character" w:customStyle="1" w:styleId="24">
    <w:name w:val="正文文本 Char"/>
    <w:link w:val="6"/>
    <w:uiPriority w:val="0"/>
    <w:rPr>
      <w:rFonts w:ascii="Times New Roman" w:hAnsi="Times New Roman" w:eastAsia="楷体_GB2312" w:cs="Times New Roman"/>
      <w:sz w:val="30"/>
      <w:szCs w:val="24"/>
    </w:rPr>
  </w:style>
  <w:style w:type="character" w:customStyle="1" w:styleId="25">
    <w:name w:val="正文文本缩进 Char"/>
    <w:basedOn w:val="16"/>
    <w:link w:val="7"/>
    <w:uiPriority w:val="0"/>
    <w:rPr>
      <w:rFonts w:ascii="宋体" w:hAnsi="宋体"/>
      <w:color w:val="000000"/>
      <w:sz w:val="21"/>
    </w:rPr>
  </w:style>
  <w:style w:type="character" w:customStyle="1" w:styleId="26">
    <w:name w:val="纯文本 Char1"/>
    <w:basedOn w:val="16"/>
    <w:link w:val="8"/>
    <w:uiPriority w:val="0"/>
    <w:rPr>
      <w:rFonts w:ascii="宋体" w:hAnsi="Courier New"/>
      <w:kern w:val="2"/>
      <w:sz w:val="21"/>
    </w:rPr>
  </w:style>
  <w:style w:type="character" w:customStyle="1" w:styleId="27">
    <w:name w:val="批注框文本 Char"/>
    <w:basedOn w:val="16"/>
    <w:link w:val="9"/>
    <w:semiHidden/>
    <w:uiPriority w:val="0"/>
    <w:rPr>
      <w:kern w:val="2"/>
      <w:sz w:val="18"/>
      <w:szCs w:val="18"/>
    </w:rPr>
  </w:style>
  <w:style w:type="character" w:customStyle="1" w:styleId="28">
    <w:name w:val="页脚 Char"/>
    <w:basedOn w:val="16"/>
    <w:link w:val="10"/>
    <w:uiPriority w:val="0"/>
    <w:rPr>
      <w:kern w:val="2"/>
      <w:sz w:val="18"/>
    </w:rPr>
  </w:style>
  <w:style w:type="character" w:customStyle="1" w:styleId="29">
    <w:name w:val="页眉 Char"/>
    <w:basedOn w:val="16"/>
    <w:link w:val="11"/>
    <w:uiPriority w:val="0"/>
    <w:rPr>
      <w:kern w:val="2"/>
      <w:sz w:val="18"/>
    </w:rPr>
  </w:style>
  <w:style w:type="character" w:customStyle="1" w:styleId="30">
    <w:name w:val="目录 1 Char"/>
    <w:link w:val="12"/>
    <w:uiPriority w:val="0"/>
    <w:rPr>
      <w:rFonts w:ascii="Times New Roman" w:hAnsi="Times New Roman"/>
      <w:szCs w:val="21"/>
    </w:rPr>
  </w:style>
  <w:style w:type="character" w:customStyle="1" w:styleId="31">
    <w:name w:val="纯文本 Char"/>
    <w:basedOn w:val="16"/>
    <w:uiPriority w:val="0"/>
    <w:rPr>
      <w:rFonts w:ascii="宋体" w:hAnsi="Courier New" w:eastAsia="宋体"/>
      <w:kern w:val="2"/>
      <w:sz w:val="21"/>
      <w:lang w:val="en-US" w:eastAsia="zh-CN" w:bidi="ar-SA"/>
    </w:rPr>
  </w:style>
  <w:style w:type="character" w:customStyle="1" w:styleId="32">
    <w:name w:val="style3"/>
    <w:basedOn w:val="16"/>
    <w:uiPriority w:val="0"/>
  </w:style>
  <w:style w:type="paragraph" w:styleId="33">
    <w:name w:val="List Paragraph"/>
    <w:basedOn w:val="1"/>
    <w:qFormat/>
    <w:uiPriority w:val="0"/>
    <w:pPr>
      <w:spacing w:line="240" w:lineRule="auto"/>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b\Desktop\ZC\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43</Pages>
  <Words>24790</Words>
  <Characters>24917</Characters>
  <Lines>258</Lines>
  <Paragraphs>72</Paragraphs>
  <TotalTime>12</TotalTime>
  <ScaleCrop>false</ScaleCrop>
  <LinksUpToDate>false</LinksUpToDate>
  <CharactersWithSpaces>25780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2014-07-11T05:21:00Z</dcterms:created>
  <dc:creator>murphy</dc:creator>
  <cp:lastModifiedBy>学历部杨</cp:lastModifiedBy>
  <cp:lastPrinted>2019-03-13T03:02:00Z</cp:lastPrinted>
  <dcterms:modified xsi:type="dcterms:W3CDTF">2023-03-03T13:04:55Z</dcterms:modified>
  <dc:title>东华大学现代远程教育</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RubyTemplateID">
    <vt:lpwstr>6</vt:lpwstr>
  </property>
  <property fmtid="{D5CDD505-2E9C-101B-9397-08002B2CF9AE}" pid="4" name="ICV">
    <vt:lpwstr>48391778C2BB44A7A66AB23408D3CA16</vt:lpwstr>
  </property>
</Properties>
</file>